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49" w:type="dxa"/>
        <w:tblInd w:w="-709" w:type="dxa"/>
        <w:tblLayout w:type="autofit"/>
        <w:tblCellMar>
          <w:top w:w="0" w:type="dxa"/>
          <w:left w:w="0" w:type="dxa"/>
          <w:bottom w:w="0" w:type="dxa"/>
          <w:right w:w="0" w:type="dxa"/>
        </w:tblCellMar>
      </w:tblPr>
      <w:tblGrid>
        <w:gridCol w:w="10349"/>
      </w:tblGrid>
      <w:tr>
        <w:tblPrEx>
          <w:tblCellMar>
            <w:top w:w="0" w:type="dxa"/>
            <w:left w:w="0" w:type="dxa"/>
            <w:bottom w:w="0" w:type="dxa"/>
            <w:right w:w="0" w:type="dxa"/>
          </w:tblCellMar>
        </w:tblPrEx>
        <w:trPr>
          <w:trHeight w:val="14038" w:hRule="atLeast"/>
        </w:trPr>
        <w:tc>
          <w:tcPr>
            <w:tcW w:w="10349" w:type="dxa"/>
            <w:shd w:val="clear" w:color="auto" w:fill="FFFFFF"/>
          </w:tcPr>
          <w:p>
            <w:pPr>
              <w:widowControl/>
              <w:rPr>
                <w:rFonts w:ascii="Times New Roman" w:hAnsi="Times New Roman" w:eastAsiaTheme="minorHAnsi" w:cstheme="minorBidi"/>
                <w:color w:val="00000A"/>
                <w:lang w:eastAsia="en-US" w:bidi="ar-SA"/>
              </w:rPr>
            </w:pPr>
            <w:bookmarkStart w:id="20" w:name="_GoBack"/>
            <w:bookmarkEnd w:id="20"/>
            <w:r>
              <w:rPr>
                <w:rFonts w:ascii="Times New Roman" w:hAnsi="Times New Roman" w:eastAsiaTheme="minorHAnsi" w:cstheme="minorBidi"/>
                <w:color w:val="00000A"/>
                <w:lang w:eastAsia="en-US" w:bidi="ar-SA"/>
              </w:rPr>
              <w:t xml:space="preserve">                                                                                                                                  Додаток № 1 до рішення</w:t>
            </w:r>
          </w:p>
          <w:p>
            <w:pPr>
              <w:widowControl/>
              <w:jc w:val="right"/>
              <w:rPr>
                <w:rFonts w:ascii="Times New Roman" w:hAnsi="Times New Roman" w:eastAsiaTheme="minorHAnsi" w:cstheme="minorBidi"/>
                <w:color w:val="00000A"/>
                <w:lang w:eastAsia="en-US" w:bidi="ar-SA"/>
              </w:rPr>
            </w:pPr>
            <w:r>
              <w:rPr>
                <w:rFonts w:ascii="Times New Roman" w:hAnsi="Times New Roman" w:eastAsiaTheme="minorHAnsi" w:cstheme="minorBidi"/>
                <w:color w:val="00000A"/>
                <w:lang w:eastAsia="en-US" w:bidi="ar-SA"/>
              </w:rPr>
              <w:t xml:space="preserve"> сесії Дрогобицької міської ради</w:t>
            </w:r>
          </w:p>
          <w:p>
            <w:pPr>
              <w:widowControl/>
              <w:jc w:val="right"/>
              <w:rPr>
                <w:rFonts w:ascii="Times New Roman" w:hAnsi="Times New Roman" w:eastAsiaTheme="minorHAnsi" w:cstheme="minorBidi"/>
                <w:color w:val="00000A"/>
                <w:lang w:eastAsia="en-US" w:bidi="ar-SA"/>
              </w:rPr>
            </w:pPr>
            <w:r>
              <w:rPr>
                <w:rFonts w:ascii="Times New Roman" w:hAnsi="Times New Roman" w:eastAsiaTheme="minorHAnsi" w:cstheme="minorBidi"/>
                <w:color w:val="00000A"/>
                <w:lang w:eastAsia="en-US" w:bidi="ar-SA"/>
              </w:rPr>
              <w:t>№ 781 від 25.11.021</w:t>
            </w:r>
          </w:p>
          <w:p>
            <w:pPr>
              <w:widowControl/>
              <w:jc w:val="both"/>
              <w:rPr>
                <w:rFonts w:ascii="Times New Roman" w:hAnsi="Times New Roman" w:cs="Times New Roman" w:eastAsiaTheme="minorHAnsi"/>
                <w:b/>
                <w:color w:val="00000A"/>
                <w:sz w:val="28"/>
                <w:szCs w:val="28"/>
                <w:lang w:eastAsia="en-US" w:bidi="ar-SA"/>
              </w:rPr>
            </w:pPr>
          </w:p>
          <w:p>
            <w:pPr>
              <w:widowControl/>
              <w:jc w:val="both"/>
              <w:rPr>
                <w:rFonts w:ascii="Times New Roman" w:hAnsi="Times New Roman" w:cs="Times New Roman" w:eastAsiaTheme="minorHAnsi"/>
                <w:color w:val="00000A"/>
                <w:lang w:eastAsia="en-US" w:bidi="ar-SA"/>
              </w:rPr>
            </w:pPr>
          </w:p>
          <w:p>
            <w:pPr>
              <w:widowControl/>
              <w:jc w:val="center"/>
              <w:rPr>
                <w:rFonts w:ascii="Times New Roman" w:hAnsi="Times New Roman" w:cs="Times New Roman" w:eastAsiaTheme="minorHAnsi"/>
                <w:b/>
                <w:color w:val="00000A"/>
                <w:sz w:val="28"/>
                <w:szCs w:val="28"/>
                <w:lang w:eastAsia="en-US" w:bidi="ar-SA"/>
              </w:rPr>
            </w:pPr>
            <w:r>
              <w:rPr>
                <w:rFonts w:ascii="Times New Roman" w:hAnsi="Times New Roman" w:cs="Times New Roman" w:eastAsiaTheme="minorHAnsi"/>
                <w:b/>
                <w:color w:val="00000A"/>
                <w:sz w:val="28"/>
                <w:szCs w:val="28"/>
                <w:lang w:eastAsia="en-US" w:bidi="ar-SA"/>
              </w:rPr>
              <w:t>МЕТОДИКА</w:t>
            </w:r>
          </w:p>
          <w:p>
            <w:pPr>
              <w:widowControl/>
              <w:jc w:val="center"/>
              <w:rPr>
                <w:rFonts w:ascii="Times New Roman" w:hAnsi="Times New Roman" w:cs="Times New Roman" w:eastAsiaTheme="minorHAnsi"/>
                <w:b/>
                <w:color w:val="00000A"/>
                <w:sz w:val="28"/>
                <w:szCs w:val="28"/>
                <w:lang w:val="ru-RU" w:eastAsia="en-US" w:bidi="ar-SA"/>
              </w:rPr>
            </w:pPr>
            <w:r>
              <w:rPr>
                <w:rFonts w:ascii="Times New Roman" w:hAnsi="Times New Roman" w:cs="Times New Roman" w:eastAsiaTheme="minorHAnsi"/>
                <w:b/>
                <w:color w:val="00000A"/>
                <w:sz w:val="28"/>
                <w:szCs w:val="28"/>
                <w:lang w:eastAsia="en-US" w:bidi="ar-SA"/>
              </w:rPr>
              <w:t>розрахунку орендної плати за кор</w:t>
            </w:r>
            <w:r>
              <w:rPr>
                <w:rFonts w:ascii="Times New Roman" w:hAnsi="Times New Roman" w:cs="Times New Roman" w:eastAsiaTheme="minorHAnsi"/>
                <w:b/>
                <w:color w:val="00000A"/>
                <w:sz w:val="28"/>
                <w:szCs w:val="28"/>
                <w:lang w:val="ru-RU" w:eastAsia="en-US" w:bidi="ar-SA"/>
              </w:rPr>
              <w:t>истування майном</w:t>
            </w:r>
          </w:p>
          <w:p>
            <w:pPr>
              <w:widowControl/>
              <w:jc w:val="center"/>
              <w:rPr>
                <w:rFonts w:ascii="Times New Roman" w:hAnsi="Times New Roman" w:cs="Times New Roman" w:eastAsiaTheme="minorHAnsi"/>
                <w:b/>
                <w:color w:val="00000A"/>
                <w:sz w:val="28"/>
                <w:szCs w:val="28"/>
                <w:lang w:val="ru-RU" w:eastAsia="en-US" w:bidi="ar-SA"/>
              </w:rPr>
            </w:pPr>
            <w:r>
              <w:rPr>
                <w:rFonts w:ascii="Times New Roman" w:hAnsi="Times New Roman" w:cs="Times New Roman" w:eastAsiaTheme="minorHAnsi"/>
                <w:b/>
                <w:color w:val="00000A"/>
                <w:sz w:val="28"/>
                <w:szCs w:val="28"/>
                <w:lang w:val="ru-RU" w:eastAsia="en-US" w:bidi="ar-SA"/>
              </w:rPr>
              <w:t>Дрогобицької міської територіальної громади</w:t>
            </w:r>
          </w:p>
          <w:p>
            <w:pPr>
              <w:widowControl/>
              <w:jc w:val="center"/>
              <w:rPr>
                <w:rFonts w:ascii="Times New Roman" w:hAnsi="Times New Roman" w:cs="Times New Roman" w:eastAsiaTheme="minorHAnsi"/>
                <w:color w:val="00000A"/>
                <w:sz w:val="28"/>
                <w:szCs w:val="28"/>
                <w:lang w:val="ru-RU" w:eastAsia="en-US" w:bidi="ar-SA"/>
              </w:rPr>
            </w:pP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1. Методику розроблено з метою створення єдиного організаційно- економічного механізму справляння плати за об’єкти оренди відповідно до Закону України “Про оренду державного та комунального майна“ (далі-Закон) та Порядку передачі в оренду державного та комунального майна, затвердженого постановою Кабінету Міністрів України від 03.06.2020 р. № 483.</w:t>
            </w: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2. Розмір орендної плати визначається:</w:t>
            </w: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-у разі передачі майна в оренду шляхом проведення електронного аукціону-відповідно до цінових пропозицій учасників аукціону.</w:t>
            </w: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-у разі передачі майна в оренду без проведення аукціону-згідно з Методикою розрахунку орендної плати.</w:t>
            </w:r>
          </w:p>
          <w:p>
            <w:pPr>
              <w:widowControl/>
              <w:ind w:firstLine="709"/>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3. 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т.ч., покрівлі, фасаду, вивіз сміття тощо).</w:t>
            </w:r>
          </w:p>
          <w:p>
            <w:pPr>
              <w:widowControl/>
              <w:ind w:firstLine="709"/>
              <w:jc w:val="both"/>
              <w:rPr>
                <w:rFonts w:ascii="Times New Roman" w:hAnsi="Times New Roman" w:cs="Times New Roman" w:eastAsiaTheme="minorHAnsi"/>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4.</w:t>
            </w:r>
            <w:r>
              <w:rPr>
                <w:rFonts w:ascii="Times New Roman" w:hAnsi="Times New Roman" w:cs="Times New Roman" w:eastAsiaTheme="minorHAnsi"/>
                <w:sz w:val="28"/>
                <w:szCs w:val="28"/>
                <w:lang w:val="ru-RU" w:eastAsia="en-US" w:bidi="ar-SA"/>
              </w:rPr>
              <w:t xml:space="preserve"> У разі оренди нерухомого майна без проведення аукціону (крім оренди нерухомого майна фізичними та юридичними особами, що вказані у пункті 16 цієї Методики) розмір річної орендної плати визначається за формулою:</w:t>
            </w:r>
          </w:p>
          <w:p>
            <w:pPr>
              <w:widowControl/>
              <w:ind w:firstLine="708"/>
              <w:jc w:val="both"/>
              <w:rPr>
                <w:rFonts w:ascii="Times New Roman" w:hAnsi="Times New Roman" w:cs="Times New Roman" w:eastAsiaTheme="minorHAnsi"/>
                <w:sz w:val="28"/>
                <w:szCs w:val="28"/>
                <w:lang w:val="ru-RU" w:eastAsia="en-US" w:bidi="ar-SA"/>
              </w:rPr>
            </w:pPr>
          </w:p>
          <w:p>
            <w:pPr>
              <w:widowControl/>
              <w:jc w:val="center"/>
              <w:rPr>
                <w:rFonts w:ascii="Times New Roman" w:hAnsi="Times New Roman" w:cs="Times New Roman" w:eastAsiaTheme="minorHAnsi"/>
                <w:color w:val="00000A"/>
                <w:sz w:val="28"/>
                <w:szCs w:val="28"/>
                <w:lang w:val="en-US" w:eastAsia="en-US" w:bidi="ar-SA"/>
              </w:rPr>
            </w:pPr>
            <m:oMathPara>
              <m:oMath>
                <m:r>
                  <m:rPr/>
                  <w:rPr>
                    <w:rFonts w:ascii="Cambria Math" w:hAnsi="Cambria Math" w:cs="Times New Roman" w:eastAsiaTheme="minorHAnsi"/>
                    <w:color w:val="00000A"/>
                    <w:sz w:val="28"/>
                    <w:szCs w:val="28"/>
                    <w:lang w:val="en-US" w:eastAsia="en-US" w:bidi="ar-SA"/>
                  </w:rPr>
                  <m:t>Опл</m:t>
                </m:r>
                <m:r>
                  <m:rPr>
                    <m:sty m:val="p"/>
                  </m:rPr>
                  <w:rPr>
                    <w:rFonts w:ascii="Cambria Math" w:hAnsi="Cambria Math" w:cs="Times New Roman" w:eastAsiaTheme="minorHAnsi"/>
                    <w:color w:val="00000A"/>
                    <w:sz w:val="28"/>
                    <w:szCs w:val="28"/>
                    <w:lang w:val="en-US" w:eastAsia="en-US" w:bidi="ar-SA"/>
                  </w:rPr>
                  <m:t>=</m:t>
                </m:r>
                <m:f>
                  <m:fPr>
                    <m:ctrlPr>
                      <w:rPr>
                        <w:rFonts w:ascii="Cambria Math" w:hAnsi="Cambria Math" w:cs="Times New Roman" w:eastAsiaTheme="minorHAnsi"/>
                        <w:color w:val="00000A"/>
                        <w:sz w:val="28"/>
                        <w:szCs w:val="28"/>
                        <w:lang w:val="en-US" w:eastAsia="en-US" w:bidi="ar-SA"/>
                      </w:rPr>
                    </m:ctrlPr>
                  </m:fPr>
                  <m:num>
                    <m:r>
                      <m:rPr>
                        <m:sty m:val="p"/>
                      </m:rPr>
                      <w:rPr>
                        <w:rFonts w:ascii="Cambria Math" w:hAnsi="Cambria Math" w:cs="Times New Roman" w:eastAsiaTheme="minorHAnsi"/>
                        <w:color w:val="00000A"/>
                        <w:sz w:val="28"/>
                        <w:szCs w:val="28"/>
                        <w:lang w:val="en-US" w:eastAsia="en-US" w:bidi="ar-SA"/>
                      </w:rPr>
                      <m:t>Вп х Сор</m:t>
                    </m:r>
                    <m:ctrlPr>
                      <w:rPr>
                        <w:rFonts w:ascii="Cambria Math" w:hAnsi="Cambria Math" w:cs="Times New Roman" w:eastAsiaTheme="minorHAnsi"/>
                        <w:color w:val="00000A"/>
                        <w:sz w:val="28"/>
                        <w:szCs w:val="28"/>
                        <w:lang w:val="en-US" w:eastAsia="en-US" w:bidi="ar-SA"/>
                      </w:rPr>
                    </m:ctrlPr>
                  </m:num>
                  <m:den>
                    <m:r>
                      <m:rPr>
                        <m:sty m:val="p"/>
                      </m:rPr>
                      <w:rPr>
                        <w:rFonts w:ascii="Cambria Math" w:hAnsi="Cambria Math" w:cs="Times New Roman" w:eastAsiaTheme="minorHAnsi"/>
                        <w:color w:val="00000A"/>
                        <w:sz w:val="28"/>
                        <w:szCs w:val="28"/>
                        <w:lang w:val="en-US" w:eastAsia="en-US" w:bidi="ar-SA"/>
                      </w:rPr>
                      <m:t>100</m:t>
                    </m:r>
                    <m:ctrlPr>
                      <w:rPr>
                        <w:rFonts w:ascii="Cambria Math" w:hAnsi="Cambria Math" w:cs="Times New Roman" w:eastAsiaTheme="minorHAnsi"/>
                        <w:color w:val="00000A"/>
                        <w:sz w:val="28"/>
                        <w:szCs w:val="28"/>
                        <w:lang w:val="en-US" w:eastAsia="en-US" w:bidi="ar-SA"/>
                      </w:rPr>
                    </m:ctrlPr>
                  </m:den>
                </m:f>
              </m:oMath>
            </m:oMathPara>
          </w:p>
          <w:p>
            <w:pPr>
              <w:widowControl/>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де:</w:t>
            </w: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Вп - вартість орендованого майна, визначена шляхом проведення незалежної оцінки (без ПДВ), грн.; </w:t>
            </w:r>
          </w:p>
          <w:p>
            <w:pPr>
              <w:widowControl/>
              <w:ind w:left="-3" w:firstLine="708"/>
              <w:jc w:val="both"/>
              <w:rPr>
                <w:rFonts w:ascii="Times New Roman" w:hAnsi="Times New Roman" w:cs="Times New Roman" w:eastAsiaTheme="minorHAnsi"/>
                <w:color w:val="auto"/>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Сор - орендна ставка, визначена згідно з додатком № 1 (в разі укладення договору з орендарем відповідно до ст. 15 Закону України "Про оренду державного та комунального майна") або додатком № 2 (для договорів оренди, строк дії яких продовжується </w:t>
            </w:r>
            <w:r>
              <w:rPr>
                <w:rFonts w:ascii="Times New Roman" w:hAnsi="Times New Roman" w:cs="Times New Roman" w:eastAsiaTheme="minorHAnsi"/>
                <w:color w:val="auto"/>
                <w:sz w:val="28"/>
                <w:szCs w:val="28"/>
                <w:lang w:val="ru-RU" w:eastAsia="en-US" w:bidi="ar-SA"/>
              </w:rPr>
              <w:t>відповідно до ст. 18 Закону України "Про оренду державного та комунального майна", а також з підприємствами, установами, організаціями, що надають соціально важливі послуги).</w:t>
            </w:r>
          </w:p>
          <w:p>
            <w:pPr>
              <w:pStyle w:val="6"/>
              <w:widowControl/>
              <w:numPr>
                <w:ilvl w:val="0"/>
                <w:numId w:val="1"/>
              </w:numPr>
              <w:shd w:val="clear" w:color="auto" w:fill="FFFFFF"/>
              <w:spacing w:after="150"/>
              <w:ind w:left="0" w:firstLine="848"/>
              <w:jc w:val="both"/>
              <w:rPr>
                <w:rFonts w:ascii="Times New Roman" w:hAnsi="Times New Roman" w:eastAsia="Times New Roman" w:cs="Times New Roman"/>
                <w:color w:val="auto"/>
                <w:sz w:val="28"/>
                <w:szCs w:val="28"/>
                <w:lang w:val="ru-RU" w:eastAsia="en-US" w:bidi="ar-SA"/>
              </w:rPr>
            </w:pPr>
            <w:r>
              <w:rPr>
                <w:rFonts w:ascii="Times New Roman" w:hAnsi="Times New Roman" w:eastAsia="Times New Roman" w:cs="Times New Roman"/>
                <w:color w:val="auto"/>
                <w:sz w:val="28"/>
                <w:szCs w:val="28"/>
                <w:lang w:eastAsia="en-US" w:bidi="ar-SA"/>
              </w:rPr>
              <w:t xml:space="preserve">Розмір орендної плати визначається для кожного орендаря окремо, відповідно до цієї Методики з посиланням в рішенні сесії на конкретний її пункт. </w:t>
            </w:r>
          </w:p>
          <w:p>
            <w:pPr>
              <w:widowControl/>
              <w:shd w:val="clear" w:color="auto" w:fill="FFFFFF"/>
              <w:spacing w:after="150"/>
              <w:jc w:val="both"/>
              <w:rPr>
                <w:rFonts w:ascii="Times New Roman" w:hAnsi="Times New Roman" w:eastAsia="Times New Roman" w:cs="Times New Roman"/>
                <w:color w:val="auto"/>
                <w:sz w:val="28"/>
                <w:szCs w:val="28"/>
                <w:lang w:val="ru-RU" w:eastAsia="en-US" w:bidi="ar-SA"/>
              </w:rPr>
            </w:pPr>
            <w:r>
              <w:rPr>
                <w:rFonts w:ascii="Times New Roman" w:hAnsi="Times New Roman" w:eastAsia="Times New Roman" w:cs="Times New Roman"/>
                <w:color w:val="auto"/>
                <w:sz w:val="28"/>
                <w:szCs w:val="28"/>
                <w:lang w:val="ru-RU" w:eastAsia="en-US" w:bidi="ar-SA"/>
              </w:rPr>
              <w:t xml:space="preserve">        Розмір орендної плати за базовий місяць оренди нерухомого та іншого окремого індивідуально визначеного майна визначається за формулою:</w:t>
            </w:r>
          </w:p>
          <w:p>
            <w:pPr>
              <w:widowControl/>
              <w:shd w:val="clear" w:color="auto" w:fill="FFFFFF"/>
              <w:spacing w:before="150" w:after="150"/>
              <w:jc w:val="center"/>
              <w:rPr>
                <w:rFonts w:ascii="Times New Roman" w:hAnsi="Times New Roman" w:eastAsia="Times New Roman" w:cs="Times New Roman"/>
                <w:color w:val="auto"/>
                <w:sz w:val="28"/>
                <w:szCs w:val="28"/>
                <w:lang w:val="en-US" w:eastAsia="en-US" w:bidi="ar-SA"/>
              </w:rPr>
            </w:pPr>
            <w:bookmarkStart w:id="0" w:name="n25"/>
            <w:bookmarkEnd w:id="0"/>
            <w:r>
              <w:rPr>
                <w:rFonts w:ascii="Times New Roman" w:hAnsi="Times New Roman" w:eastAsia="Times New Roman" w:cs="Times New Roman"/>
                <w:color w:val="auto"/>
                <w:sz w:val="28"/>
                <w:szCs w:val="28"/>
                <w:lang w:val="ru-RU" w:eastAsia="ru-RU" w:bidi="ar-SA"/>
              </w:rPr>
              <w:drawing>
                <wp:inline distT="0" distB="0" distL="0" distR="0">
                  <wp:extent cx="962025" cy="428625"/>
                  <wp:effectExtent l="0" t="0" r="9525" b="9525"/>
                  <wp:docPr id="7" name="Рисунок 7" descr="https://zakon.rada.gov.ua/laws/file/imgs/90/p506691n25-4.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zakon.rada.gov.ua/laws/file/imgs/90/p506691n25-4.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962025" cy="428625"/>
                          </a:xfrm>
                          <a:prstGeom prst="rect">
                            <a:avLst/>
                          </a:prstGeom>
                          <a:noFill/>
                          <a:ln>
                            <a:noFill/>
                          </a:ln>
                        </pic:spPr>
                      </pic:pic>
                    </a:graphicData>
                  </a:graphic>
                </wp:inline>
              </w:drawing>
            </w:r>
          </w:p>
          <w:tbl>
            <w:tblPr>
              <w:tblStyle w:val="3"/>
              <w:tblW w:w="5000" w:type="pct"/>
              <w:jc w:val="center"/>
              <w:tblLayout w:type="autofit"/>
              <w:tblCellMar>
                <w:top w:w="0" w:type="dxa"/>
                <w:left w:w="0" w:type="dxa"/>
                <w:bottom w:w="0" w:type="dxa"/>
                <w:right w:w="0" w:type="dxa"/>
              </w:tblCellMar>
            </w:tblPr>
            <w:tblGrid>
              <w:gridCol w:w="555"/>
              <w:gridCol w:w="1304"/>
              <w:gridCol w:w="8490"/>
            </w:tblGrid>
            <w:tr>
              <w:tblPrEx>
                <w:tblCellMar>
                  <w:top w:w="0" w:type="dxa"/>
                  <w:left w:w="0" w:type="dxa"/>
                  <w:bottom w:w="0" w:type="dxa"/>
                  <w:right w:w="0" w:type="dxa"/>
                </w:tblCellMar>
              </w:tblPrEx>
              <w:trPr>
                <w:jc w:val="center"/>
              </w:trPr>
              <w:tc>
                <w:tcPr>
                  <w:tcW w:w="100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bookmarkStart w:id="1" w:name="n230"/>
                  <w:bookmarkEnd w:id="1"/>
                  <w:r>
                    <w:rPr>
                      <w:rFonts w:ascii="Times New Roman" w:hAnsi="Times New Roman" w:eastAsia="Times New Roman" w:cs="Times New Roman"/>
                      <w:color w:val="auto"/>
                      <w:lang w:val="en-US" w:eastAsia="en-US" w:bidi="ar-SA"/>
                    </w:rPr>
                    <w:t>де</w:t>
                  </w:r>
                </w:p>
              </w:tc>
              <w:tc>
                <w:tcPr>
                  <w:tcW w:w="232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ru-RU" w:eastAsia="ru-RU" w:bidi="ar-SA"/>
                    </w:rPr>
                    <w:drawing>
                      <wp:inline distT="0" distB="0" distL="0" distR="0">
                        <wp:extent cx="361950" cy="200025"/>
                        <wp:effectExtent l="0" t="0" r="0" b="9525"/>
                        <wp:docPr id="2" name="Рисунок 2" descr="https://zakon.rada.gov.ua/laws/file/imgs/90/p506691n230-5.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zakon.rada.gov.ua/laws/file/imgs/90/p506691n230-5.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 cy="200025"/>
                                </a:xfrm>
                                <a:prstGeom prst="rect">
                                  <a:avLst/>
                                </a:prstGeom>
                                <a:noFill/>
                                <a:ln>
                                  <a:noFill/>
                                </a:ln>
                              </pic:spPr>
                            </pic:pic>
                          </a:graphicData>
                        </a:graphic>
                      </wp:inline>
                    </w:drawing>
                  </w:r>
                </w:p>
              </w:tc>
              <w:tc>
                <w:tcPr>
                  <w:tcW w:w="19185" w:type="dxa"/>
                  <w:tcBorders>
                    <w:top w:val="single" w:color="auto" w:sz="2" w:space="0"/>
                    <w:left w:val="single" w:color="auto" w:sz="2" w:space="0"/>
                    <w:bottom w:val="single" w:color="auto" w:sz="2" w:space="0"/>
                    <w:right w:val="single" w:color="auto" w:sz="2" w:space="0"/>
                  </w:tcBorders>
                </w:tcPr>
                <w:p>
                  <w:pPr>
                    <w:widowControl/>
                    <w:spacing w:before="150" w:after="150"/>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розмір місячної орендної плати, гривень.</w:t>
                  </w:r>
                </w:p>
              </w:tc>
            </w:tr>
          </w:tbl>
          <w:p>
            <w:pPr>
              <w:widowControl/>
              <w:shd w:val="clear" w:color="auto" w:fill="FFFFFF"/>
              <w:ind w:firstLine="448"/>
              <w:jc w:val="both"/>
              <w:rPr>
                <w:rFonts w:ascii="Times New Roman" w:hAnsi="Times New Roman" w:eastAsia="Times New Roman" w:cs="Times New Roman"/>
                <w:color w:val="auto"/>
                <w:sz w:val="28"/>
                <w:szCs w:val="28"/>
                <w:lang w:eastAsia="en-US" w:bidi="ar-SA"/>
              </w:rPr>
            </w:pPr>
            <w:bookmarkStart w:id="2" w:name="n27"/>
            <w:bookmarkEnd w:id="2"/>
            <w:r>
              <w:rPr>
                <w:rFonts w:ascii="Times New Roman" w:hAnsi="Times New Roman" w:eastAsia="Times New Roman" w:cs="Times New Roman"/>
                <w:color w:val="auto"/>
                <w:sz w:val="28"/>
                <w:szCs w:val="28"/>
                <w:lang w:eastAsia="en-US" w:bidi="ar-SA"/>
              </w:rPr>
              <w:t xml:space="preserve"> У разі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та з урахуванням пені, нарахованої відповідно до облікової ставки НБУ за кожен день прострочення.</w:t>
            </w:r>
          </w:p>
          <w:p>
            <w:pPr>
              <w:widowControl/>
              <w:shd w:val="clear" w:color="auto" w:fill="FFFFFF"/>
              <w:spacing w:after="150"/>
              <w:ind w:firstLine="450"/>
              <w:jc w:val="both"/>
              <w:rPr>
                <w:rFonts w:ascii="Times New Roman" w:hAnsi="Times New Roman" w:eastAsia="Times New Roman" w:cs="Times New Roman"/>
                <w:color w:val="auto"/>
                <w:sz w:val="28"/>
                <w:szCs w:val="28"/>
                <w:lang w:eastAsia="en-US" w:bidi="ar-SA"/>
              </w:rPr>
            </w:pPr>
            <w:bookmarkStart w:id="3" w:name="n28"/>
            <w:bookmarkEnd w:id="3"/>
            <w:r>
              <w:rPr>
                <w:rFonts w:ascii="Times New Roman" w:hAnsi="Times New Roman" w:eastAsia="Times New Roman" w:cs="Times New Roman"/>
                <w:color w:val="auto"/>
                <w:sz w:val="28"/>
                <w:szCs w:val="28"/>
                <w:lang w:eastAsia="en-US" w:bidi="ar-SA"/>
              </w:rPr>
              <w:t xml:space="preserve">   6. У випадках, передбачених рішенням Дрогобицької міської ради, розмір добової орендної плати розраховується на основі розміру місячної орендної плати з розрахунку кількості днів у місяці фактичного користування за формулою:</w:t>
            </w:r>
          </w:p>
          <w:p>
            <w:pPr>
              <w:widowControl/>
              <w:shd w:val="clear" w:color="auto" w:fill="FFFFFF"/>
              <w:spacing w:before="150" w:after="150"/>
              <w:jc w:val="center"/>
              <w:rPr>
                <w:rFonts w:ascii="Times New Roman" w:hAnsi="Times New Roman" w:eastAsia="Times New Roman" w:cs="Times New Roman"/>
                <w:color w:val="auto"/>
                <w:lang w:val="en-US" w:eastAsia="en-US" w:bidi="ar-SA"/>
              </w:rPr>
            </w:pPr>
            <w:bookmarkStart w:id="4" w:name="n29"/>
            <w:bookmarkEnd w:id="4"/>
            <w:r>
              <w:rPr>
                <w:rFonts w:ascii="Times New Roman" w:hAnsi="Times New Roman" w:eastAsia="Times New Roman" w:cs="Times New Roman"/>
                <w:color w:val="auto"/>
                <w:lang w:val="ru-RU" w:eastAsia="ru-RU" w:bidi="ar-SA"/>
              </w:rPr>
              <w:drawing>
                <wp:inline distT="0" distB="0" distL="0" distR="0">
                  <wp:extent cx="1257300" cy="447675"/>
                  <wp:effectExtent l="0" t="0" r="0" b="9525"/>
                  <wp:docPr id="3" name="Рисунок 3" descr="https://zakon.rada.gov.ua/laws/file/imgs/90/p506691n29-6.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s://zakon.rada.gov.ua/laws/file/imgs/90/p506691n29-6.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257300" cy="447675"/>
                          </a:xfrm>
                          <a:prstGeom prst="rect">
                            <a:avLst/>
                          </a:prstGeom>
                          <a:noFill/>
                          <a:ln>
                            <a:noFill/>
                          </a:ln>
                        </pic:spPr>
                      </pic:pic>
                    </a:graphicData>
                  </a:graphic>
                </wp:inline>
              </w:drawing>
            </w:r>
          </w:p>
          <w:tbl>
            <w:tblPr>
              <w:tblStyle w:val="3"/>
              <w:tblW w:w="5000" w:type="pct"/>
              <w:jc w:val="center"/>
              <w:tblLayout w:type="autofit"/>
              <w:tblCellMar>
                <w:top w:w="0" w:type="dxa"/>
                <w:left w:w="0" w:type="dxa"/>
                <w:bottom w:w="0" w:type="dxa"/>
                <w:right w:w="0" w:type="dxa"/>
              </w:tblCellMar>
            </w:tblPr>
            <w:tblGrid>
              <w:gridCol w:w="541"/>
              <w:gridCol w:w="1290"/>
              <w:gridCol w:w="8518"/>
            </w:tblGrid>
            <w:tr>
              <w:tblPrEx>
                <w:tblCellMar>
                  <w:top w:w="0" w:type="dxa"/>
                  <w:left w:w="0" w:type="dxa"/>
                  <w:bottom w:w="0" w:type="dxa"/>
                  <w:right w:w="0" w:type="dxa"/>
                </w:tblCellMar>
              </w:tblPrEx>
              <w:trPr>
                <w:jc w:val="center"/>
              </w:trPr>
              <w:tc>
                <w:tcPr>
                  <w:tcW w:w="100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bookmarkStart w:id="5" w:name="n232"/>
                  <w:bookmarkEnd w:id="5"/>
                  <w:r>
                    <w:rPr>
                      <w:rFonts w:ascii="Times New Roman" w:hAnsi="Times New Roman" w:eastAsia="Times New Roman" w:cs="Times New Roman"/>
                      <w:color w:val="auto"/>
                      <w:lang w:val="en-US" w:eastAsia="en-US" w:bidi="ar-SA"/>
                    </w:rPr>
                    <w:t>де</w:t>
                  </w:r>
                </w:p>
              </w:tc>
              <w:tc>
                <w:tcPr>
                  <w:tcW w:w="232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ru-RU" w:eastAsia="ru-RU" w:bidi="ar-SA"/>
                    </w:rPr>
                    <w:drawing>
                      <wp:inline distT="0" distB="0" distL="0" distR="0">
                        <wp:extent cx="381000" cy="200025"/>
                        <wp:effectExtent l="0" t="0" r="0" b="9525"/>
                        <wp:docPr id="4" name="Рисунок 4" descr="https://zakon.rada.gov.ua/laws/file/imgs/90/p506691n232-7.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zakon.rada.gov.ua/laws/file/imgs/90/p506691n232-7.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81000" cy="200025"/>
                                </a:xfrm>
                                <a:prstGeom prst="rect">
                                  <a:avLst/>
                                </a:prstGeom>
                                <a:noFill/>
                                <a:ln>
                                  <a:noFill/>
                                </a:ln>
                              </pic:spPr>
                            </pic:pic>
                          </a:graphicData>
                        </a:graphic>
                      </wp:inline>
                    </w:drawing>
                  </w:r>
                </w:p>
              </w:tc>
              <w:tc>
                <w:tcPr>
                  <w:tcW w:w="19185" w:type="dxa"/>
                  <w:tcBorders>
                    <w:top w:val="single" w:color="auto" w:sz="2" w:space="0"/>
                    <w:left w:val="single" w:color="auto" w:sz="2" w:space="0"/>
                    <w:bottom w:val="single" w:color="auto" w:sz="2" w:space="0"/>
                    <w:right w:val="single" w:color="auto" w:sz="2" w:space="0"/>
                  </w:tcBorders>
                </w:tcPr>
                <w:p>
                  <w:pPr>
                    <w:widowControl/>
                    <w:spacing w:before="150" w:after="150"/>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розмір добової орендної плати, гривень;</w:t>
                  </w:r>
                </w:p>
              </w:tc>
            </w:tr>
            <w:tr>
              <w:tblPrEx>
                <w:tblCellMar>
                  <w:top w:w="0" w:type="dxa"/>
                  <w:left w:w="0" w:type="dxa"/>
                  <w:bottom w:w="0" w:type="dxa"/>
                  <w:right w:w="0" w:type="dxa"/>
                </w:tblCellMar>
              </w:tblPrEx>
              <w:trPr>
                <w:jc w:val="center"/>
              </w:trPr>
              <w:tc>
                <w:tcPr>
                  <w:tcW w:w="1005" w:type="dxa"/>
                  <w:tcBorders>
                    <w:top w:val="single" w:color="auto" w:sz="2" w:space="0"/>
                    <w:left w:val="single" w:color="auto" w:sz="2" w:space="0"/>
                    <w:bottom w:val="single" w:color="auto" w:sz="2" w:space="0"/>
                    <w:right w:val="single" w:color="auto" w:sz="2" w:space="0"/>
                  </w:tcBorders>
                </w:tcPr>
                <w:p>
                  <w:pPr>
                    <w:widowControl/>
                    <w:rPr>
                      <w:rFonts w:ascii="Times New Roman" w:hAnsi="Times New Roman" w:eastAsia="Times New Roman" w:cs="Times New Roman"/>
                      <w:color w:val="auto"/>
                      <w:lang w:val="ru-RU" w:eastAsia="en-US" w:bidi="ar-SA"/>
                    </w:rPr>
                  </w:pPr>
                </w:p>
              </w:tc>
              <w:tc>
                <w:tcPr>
                  <w:tcW w:w="232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en-US" w:eastAsia="en-US" w:bidi="ar-SA"/>
                    </w:rPr>
                    <w:t>Х</w:t>
                  </w:r>
                </w:p>
              </w:tc>
              <w:tc>
                <w:tcPr>
                  <w:tcW w:w="19185" w:type="dxa"/>
                  <w:tcBorders>
                    <w:top w:val="single" w:color="auto" w:sz="2" w:space="0"/>
                    <w:left w:val="single" w:color="auto" w:sz="2" w:space="0"/>
                    <w:bottom w:val="single" w:color="auto" w:sz="2" w:space="0"/>
                    <w:right w:val="single" w:color="auto" w:sz="2" w:space="0"/>
                  </w:tcBorders>
                </w:tcPr>
                <w:p>
                  <w:pPr>
                    <w:widowControl/>
                    <w:spacing w:before="150" w:after="150"/>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кількість днів у місяці фактичного користування.</w:t>
                  </w:r>
                </w:p>
              </w:tc>
            </w:tr>
          </w:tbl>
          <w:p>
            <w:pPr>
              <w:widowControl/>
              <w:shd w:val="clear" w:color="auto" w:fill="FFFFFF"/>
              <w:spacing w:after="150"/>
              <w:jc w:val="both"/>
              <w:rPr>
                <w:rFonts w:ascii="Times New Roman" w:hAnsi="Times New Roman" w:eastAsia="Times New Roman" w:cs="Times New Roman"/>
                <w:color w:val="auto"/>
                <w:sz w:val="28"/>
                <w:szCs w:val="28"/>
                <w:lang w:eastAsia="en-US" w:bidi="ar-SA"/>
              </w:rPr>
            </w:pPr>
            <w:bookmarkStart w:id="6" w:name="n32"/>
            <w:bookmarkEnd w:id="6"/>
            <w:r>
              <w:rPr>
                <w:rFonts w:ascii="Times New Roman" w:hAnsi="Times New Roman" w:eastAsia="Times New Roman" w:cs="Times New Roman"/>
                <w:color w:val="auto"/>
                <w:sz w:val="28"/>
                <w:szCs w:val="28"/>
                <w:lang w:eastAsia="en-US" w:bidi="ar-SA"/>
              </w:rPr>
              <w:t xml:space="preserve">         7. У випадках, передбачених рішенням Дрогобицької міської ради, розмір  погодинної орендної плати за об’єкт оренди розраховується на основі розміру добової орендної плати із розрахунку 24 години на добу за формулою:</w:t>
            </w:r>
          </w:p>
          <w:p>
            <w:pPr>
              <w:widowControl/>
              <w:shd w:val="clear" w:color="auto" w:fill="FFFFFF"/>
              <w:spacing w:before="150" w:after="150"/>
              <w:jc w:val="center"/>
              <w:rPr>
                <w:rFonts w:ascii="Times New Roman" w:hAnsi="Times New Roman" w:eastAsia="Times New Roman" w:cs="Times New Roman"/>
                <w:color w:val="auto"/>
                <w:lang w:val="en-US" w:eastAsia="en-US" w:bidi="ar-SA"/>
              </w:rPr>
            </w:pPr>
            <w:bookmarkStart w:id="7" w:name="n33"/>
            <w:bookmarkEnd w:id="7"/>
            <w:r>
              <w:rPr>
                <w:rFonts w:ascii="Times New Roman" w:hAnsi="Times New Roman" w:eastAsia="Times New Roman" w:cs="Times New Roman"/>
                <w:color w:val="auto"/>
                <w:lang w:val="ru-RU" w:eastAsia="ru-RU" w:bidi="ar-SA"/>
              </w:rPr>
              <w:drawing>
                <wp:inline distT="0" distB="0" distL="0" distR="0">
                  <wp:extent cx="1676400" cy="466725"/>
                  <wp:effectExtent l="0" t="0" r="0" b="9525"/>
                  <wp:docPr id="5" name="Рисунок 5" descr="https://zakon.rada.gov.ua/laws/file/imgs/90/p506691n33-8.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zakon.rada.gov.ua/laws/file/imgs/90/p506691n33-8.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676400" cy="466725"/>
                          </a:xfrm>
                          <a:prstGeom prst="rect">
                            <a:avLst/>
                          </a:prstGeom>
                          <a:noFill/>
                          <a:ln>
                            <a:noFill/>
                          </a:ln>
                        </pic:spPr>
                      </pic:pic>
                    </a:graphicData>
                  </a:graphic>
                </wp:inline>
              </w:drawing>
            </w:r>
          </w:p>
          <w:tbl>
            <w:tblPr>
              <w:tblStyle w:val="3"/>
              <w:tblW w:w="5000" w:type="pct"/>
              <w:jc w:val="center"/>
              <w:tblLayout w:type="autofit"/>
              <w:tblCellMar>
                <w:top w:w="0" w:type="dxa"/>
                <w:left w:w="0" w:type="dxa"/>
                <w:bottom w:w="0" w:type="dxa"/>
                <w:right w:w="0" w:type="dxa"/>
              </w:tblCellMar>
            </w:tblPr>
            <w:tblGrid>
              <w:gridCol w:w="541"/>
              <w:gridCol w:w="1306"/>
              <w:gridCol w:w="8502"/>
            </w:tblGrid>
            <w:tr>
              <w:tblPrEx>
                <w:tblCellMar>
                  <w:top w:w="0" w:type="dxa"/>
                  <w:left w:w="0" w:type="dxa"/>
                  <w:bottom w:w="0" w:type="dxa"/>
                  <w:right w:w="0" w:type="dxa"/>
                </w:tblCellMar>
              </w:tblPrEx>
              <w:trPr>
                <w:jc w:val="center"/>
              </w:trPr>
              <w:tc>
                <w:tcPr>
                  <w:tcW w:w="100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bookmarkStart w:id="8" w:name="n234"/>
                  <w:bookmarkEnd w:id="8"/>
                  <w:r>
                    <w:rPr>
                      <w:rFonts w:ascii="Times New Roman" w:hAnsi="Times New Roman" w:eastAsia="Times New Roman" w:cs="Times New Roman"/>
                      <w:color w:val="auto"/>
                      <w:lang w:val="en-US" w:eastAsia="en-US" w:bidi="ar-SA"/>
                    </w:rPr>
                    <w:t>де</w:t>
                  </w:r>
                </w:p>
              </w:tc>
              <w:tc>
                <w:tcPr>
                  <w:tcW w:w="232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ru-RU" w:eastAsia="ru-RU" w:bidi="ar-SA"/>
                    </w:rPr>
                    <w:drawing>
                      <wp:inline distT="0" distB="0" distL="0" distR="0">
                        <wp:extent cx="390525" cy="200025"/>
                        <wp:effectExtent l="0" t="0" r="9525" b="9525"/>
                        <wp:docPr id="6" name="Рисунок 6" descr="https://zakon.rada.gov.ua/laws/file/imgs/90/p506691n234-9.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s://zakon.rada.gov.ua/laws/file/imgs/90/p506691n234-9.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90525" cy="200025"/>
                                </a:xfrm>
                                <a:prstGeom prst="rect">
                                  <a:avLst/>
                                </a:prstGeom>
                                <a:noFill/>
                                <a:ln>
                                  <a:noFill/>
                                </a:ln>
                              </pic:spPr>
                            </pic:pic>
                          </a:graphicData>
                        </a:graphic>
                      </wp:inline>
                    </w:drawing>
                  </w:r>
                </w:p>
              </w:tc>
              <w:tc>
                <w:tcPr>
                  <w:tcW w:w="19185" w:type="dxa"/>
                  <w:tcBorders>
                    <w:top w:val="single" w:color="auto" w:sz="2" w:space="0"/>
                    <w:left w:val="single" w:color="auto" w:sz="2" w:space="0"/>
                    <w:bottom w:val="single" w:color="auto" w:sz="2" w:space="0"/>
                    <w:right w:val="single" w:color="auto" w:sz="2" w:space="0"/>
                  </w:tcBorders>
                </w:tcPr>
                <w:p>
                  <w:pPr>
                    <w:widowControl/>
                    <w:spacing w:before="150" w:after="150"/>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en-US" w:eastAsia="en-US" w:bidi="ar-SA"/>
                    </w:rPr>
                    <w:t>- розмір погодинної орендної плати;</w:t>
                  </w:r>
                </w:p>
              </w:tc>
            </w:tr>
            <w:tr>
              <w:tblPrEx>
                <w:tblCellMar>
                  <w:top w:w="0" w:type="dxa"/>
                  <w:left w:w="0" w:type="dxa"/>
                  <w:bottom w:w="0" w:type="dxa"/>
                  <w:right w:w="0" w:type="dxa"/>
                </w:tblCellMar>
              </w:tblPrEx>
              <w:trPr>
                <w:jc w:val="center"/>
              </w:trPr>
              <w:tc>
                <w:tcPr>
                  <w:tcW w:w="1005" w:type="dxa"/>
                  <w:tcBorders>
                    <w:top w:val="single" w:color="auto" w:sz="2" w:space="0"/>
                    <w:left w:val="single" w:color="auto" w:sz="2" w:space="0"/>
                    <w:bottom w:val="single" w:color="auto" w:sz="2" w:space="0"/>
                    <w:right w:val="single" w:color="auto" w:sz="2" w:space="0"/>
                  </w:tcBorders>
                </w:tcPr>
                <w:p>
                  <w:pPr>
                    <w:widowControl/>
                    <w:rPr>
                      <w:rFonts w:ascii="Times New Roman" w:hAnsi="Times New Roman" w:eastAsia="Times New Roman" w:cs="Times New Roman"/>
                      <w:color w:val="auto"/>
                      <w:lang w:val="en-US" w:eastAsia="en-US" w:bidi="ar-SA"/>
                    </w:rPr>
                  </w:pPr>
                </w:p>
              </w:tc>
              <w:tc>
                <w:tcPr>
                  <w:tcW w:w="2325" w:type="dxa"/>
                  <w:tcBorders>
                    <w:top w:val="single" w:color="auto" w:sz="2" w:space="0"/>
                    <w:left w:val="single" w:color="auto" w:sz="2" w:space="0"/>
                    <w:bottom w:val="single" w:color="auto" w:sz="2" w:space="0"/>
                    <w:right w:val="single" w:color="auto" w:sz="2" w:space="0"/>
                  </w:tcBorders>
                </w:tcPr>
                <w:p>
                  <w:pPr>
                    <w:widowControl/>
                    <w:spacing w:before="150" w:after="150"/>
                    <w:jc w:val="center"/>
                    <w:rPr>
                      <w:rFonts w:ascii="Times New Roman" w:hAnsi="Times New Roman" w:eastAsia="Times New Roman" w:cs="Times New Roman"/>
                      <w:color w:val="auto"/>
                      <w:lang w:val="en-US" w:eastAsia="en-US" w:bidi="ar-SA"/>
                    </w:rPr>
                  </w:pPr>
                  <w:r>
                    <w:rPr>
                      <w:rFonts w:ascii="Times New Roman" w:hAnsi="Times New Roman" w:eastAsia="Times New Roman" w:cs="Times New Roman"/>
                      <w:color w:val="auto"/>
                      <w:lang w:val="en-US" w:eastAsia="en-US" w:bidi="ar-SA"/>
                    </w:rPr>
                    <w:t>Х</w:t>
                  </w:r>
                </w:p>
              </w:tc>
              <w:tc>
                <w:tcPr>
                  <w:tcW w:w="19185" w:type="dxa"/>
                  <w:tcBorders>
                    <w:top w:val="single" w:color="auto" w:sz="2" w:space="0"/>
                    <w:left w:val="single" w:color="auto" w:sz="2" w:space="0"/>
                    <w:bottom w:val="single" w:color="auto" w:sz="2" w:space="0"/>
                    <w:right w:val="single" w:color="auto" w:sz="2" w:space="0"/>
                  </w:tcBorders>
                </w:tcPr>
                <w:p>
                  <w:pPr>
                    <w:widowControl/>
                    <w:spacing w:before="150" w:after="150"/>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кількість днів у місяці фактичного користування.</w:t>
                  </w:r>
                </w:p>
              </w:tc>
            </w:tr>
          </w:tbl>
          <w:p>
            <w:pPr>
              <w:jc w:val="both"/>
              <w:rPr>
                <w:rFonts w:ascii="Times New Roman" w:hAnsi="Times New Roman" w:cs="Times New Roman"/>
                <w:color w:val="auto"/>
                <w:sz w:val="28"/>
                <w:szCs w:val="28"/>
              </w:rPr>
            </w:pPr>
            <w:bookmarkStart w:id="9" w:name="n36"/>
            <w:bookmarkEnd w:id="9"/>
            <w:r>
              <w:rPr>
                <w:rFonts w:ascii="Times New Roman" w:hAnsi="Times New Roman" w:cs="Times New Roman"/>
                <w:color w:val="auto"/>
                <w:sz w:val="28"/>
                <w:szCs w:val="28"/>
              </w:rPr>
              <w:t xml:space="preserve">           8. Погодинні договори орендної плати укладаються без проведення</w:t>
            </w:r>
            <w:r>
              <w:rPr>
                <w:rFonts w:ascii="Times New Roman" w:hAnsi="Times New Roman" w:cs="Times New Roman"/>
                <w:sz w:val="28"/>
                <w:szCs w:val="28"/>
              </w:rPr>
              <w:t xml:space="preserve"> аукціону з</w:t>
            </w:r>
            <w:r>
              <w:rPr>
                <w:rFonts w:ascii="Times New Roman" w:hAnsi="Times New Roman" w:cs="Times New Roman"/>
                <w:sz w:val="28"/>
                <w:szCs w:val="28"/>
                <w:highlight w:val="yellow"/>
              </w:rPr>
              <w:t xml:space="preserve"> </w:t>
            </w:r>
            <w:r>
              <w:rPr>
                <w:rFonts w:ascii="Times New Roman" w:hAnsi="Times New Roman" w:cs="Times New Roman"/>
                <w:color w:val="auto"/>
                <w:sz w:val="28"/>
                <w:szCs w:val="28"/>
              </w:rPr>
              <w:t xml:space="preserve">урахуванням орендних ставок, втановлених цією Методикою.       </w:t>
            </w:r>
          </w:p>
          <w:p>
            <w:pPr>
              <w:jc w:val="both"/>
              <w:rPr>
                <w:rFonts w:ascii="Times New Roman" w:hAnsi="Times New Roman" w:eastAsia="Times New Roman" w:cs="Times New Roman"/>
                <w:color w:val="auto"/>
                <w:sz w:val="28"/>
                <w:szCs w:val="28"/>
                <w:lang w:eastAsia="en-US" w:bidi="ar-SA"/>
              </w:rPr>
            </w:pPr>
            <w:r>
              <w:rPr>
                <w:rFonts w:ascii="Times New Roman" w:hAnsi="Times New Roman" w:eastAsia="Times New Roman" w:cs="Times New Roman"/>
                <w:color w:val="auto"/>
                <w:sz w:val="28"/>
                <w:szCs w:val="28"/>
                <w:lang w:eastAsia="en-US" w:bidi="ar-SA"/>
              </w:rPr>
              <w:t xml:space="preserve">           9. В окремих випадках, враховуючи специфіку орендаря, соціальну значимість його діяльності для Дрогобицької міської територіальної громади можуть бути встановлені такі погодинні орендні ставки:</w:t>
            </w:r>
          </w:p>
          <w:p>
            <w:pPr>
              <w:jc w:val="both"/>
              <w:rPr>
                <w:rFonts w:ascii="Times New Roman" w:hAnsi="Times New Roman" w:cs="Times New Roman"/>
                <w:color w:val="auto"/>
                <w:sz w:val="28"/>
                <w:szCs w:val="28"/>
              </w:rPr>
            </w:pPr>
            <w:r>
              <w:rPr>
                <w:rFonts w:ascii="Times New Roman" w:hAnsi="Times New Roman" w:eastAsia="Times New Roman" w:cs="Times New Roman"/>
                <w:color w:val="auto"/>
                <w:sz w:val="28"/>
                <w:szCs w:val="28"/>
                <w:lang w:eastAsia="en-US" w:bidi="ar-SA"/>
              </w:rPr>
              <w:t xml:space="preserve">           9.1. п</w:t>
            </w:r>
            <w:r>
              <w:rPr>
                <w:rFonts w:ascii="Times New Roman" w:hAnsi="Times New Roman" w:cs="Times New Roman"/>
                <w:color w:val="auto"/>
                <w:sz w:val="28"/>
                <w:szCs w:val="28"/>
              </w:rPr>
              <w:t>ри передачі в погодинну оренду спортивного залу закладів освіти, спорту  (школи, ліцею, гімназії Дрогобицької міської ради) фізичним та юридичним особам, орендна плата становить 100 грн. без ПДВ за 1 год., якщо інше не передбачено рішенням сесії Дрогобицької міської ради;</w:t>
            </w:r>
          </w:p>
          <w:p>
            <w:pPr>
              <w:jc w:val="both"/>
              <w:rPr>
                <w:rFonts w:ascii="Times New Roman" w:hAnsi="Times New Roman" w:cs="Times New Roman"/>
                <w:sz w:val="28"/>
                <w:szCs w:val="28"/>
              </w:rPr>
            </w:pPr>
            <w:r>
              <w:rPr>
                <w:rFonts w:ascii="Times New Roman" w:hAnsi="Times New Roman" w:cs="Times New Roman"/>
                <w:sz w:val="28"/>
                <w:szCs w:val="28"/>
              </w:rPr>
              <w:t xml:space="preserve">           9.2. при наданні нежитлових приміщень в погодинну орендну плату для занять танцювальних колективів, фізичним та юридичним особам, орендна плата становить </w:t>
            </w:r>
            <w:r>
              <w:rPr>
                <w:rFonts w:ascii="Times New Roman" w:hAnsi="Times New Roman" w:cs="Times New Roman"/>
                <w:sz w:val="28"/>
                <w:szCs w:val="28"/>
                <w:lang w:val="ru-RU"/>
              </w:rPr>
              <w:t>5</w:t>
            </w:r>
            <w:r>
              <w:rPr>
                <w:rFonts w:ascii="Times New Roman" w:hAnsi="Times New Roman" w:cs="Times New Roman"/>
                <w:sz w:val="28"/>
                <w:szCs w:val="28"/>
              </w:rPr>
              <w:t>0 грн. без ПДВ за 1 год., якщо інше не передбачено рішенням сесії Дрогобицької міської ради;</w:t>
            </w:r>
          </w:p>
          <w:p>
            <w:pPr>
              <w:jc w:val="both"/>
              <w:rPr>
                <w:rFonts w:ascii="Times New Roman" w:hAnsi="Times New Roman" w:cs="Times New Roman"/>
                <w:sz w:val="28"/>
                <w:szCs w:val="28"/>
              </w:rPr>
            </w:pPr>
            <w:r>
              <w:rPr>
                <w:rFonts w:ascii="Times New Roman" w:hAnsi="Times New Roman" w:cs="Times New Roman"/>
                <w:sz w:val="28"/>
                <w:szCs w:val="28"/>
              </w:rPr>
              <w:t xml:space="preserve">           9.3. при наданні нежитлових приміщень в погодинну орендну плату для занять з вивчення іноземних мов, фізичним та юридичним особам, орендна плата становить 50 грн. без ПДВ за 1 год., якщо інше не передбачено рішенням сесії Дрогобицької міської ради;</w:t>
            </w:r>
          </w:p>
          <w:p>
            <w:pPr>
              <w:jc w:val="both"/>
              <w:rPr>
                <w:rFonts w:ascii="Times New Roman" w:hAnsi="Times New Roman" w:cs="Times New Roman"/>
                <w:sz w:val="28"/>
                <w:szCs w:val="28"/>
              </w:rPr>
            </w:pPr>
            <w:r>
              <w:rPr>
                <w:rFonts w:ascii="Times New Roman" w:hAnsi="Times New Roman" w:cs="Times New Roman"/>
                <w:sz w:val="28"/>
                <w:szCs w:val="28"/>
              </w:rPr>
              <w:t xml:space="preserve">           9.4. при наданні в погодинну оренду нежитлових приміщень, площа яких перевищує 100 кв. м., орендодавець встановлює розмір погодинної орендної ставки з врахуванням специфіки оренди</w:t>
            </w:r>
            <w:r>
              <w:t xml:space="preserve"> </w:t>
            </w:r>
            <w:r>
              <w:rPr>
                <w:rFonts w:ascii="Times New Roman" w:hAnsi="Times New Roman" w:cs="Times New Roman"/>
                <w:sz w:val="28"/>
                <w:szCs w:val="28"/>
              </w:rPr>
              <w:t>за наявності рішення сесії Дрогобицької міської ради та погодження постійної комісії ради з питань оренди та приватизації, промисловості, торгівлі, громадського харчування, побутового обслуговування,  малого та середнього бізнесу.</w:t>
            </w:r>
          </w:p>
          <w:p>
            <w:pPr>
              <w:widowControl/>
              <w:ind w:firstLine="708"/>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eastAsia="en-US" w:bidi="ar-SA"/>
              </w:rPr>
              <w:t xml:space="preserve"> </w:t>
            </w:r>
            <w:r>
              <w:rPr>
                <w:rFonts w:ascii="Times New Roman" w:hAnsi="Times New Roman" w:cs="Times New Roman" w:eastAsiaTheme="minorHAnsi"/>
                <w:color w:val="00000A"/>
                <w:sz w:val="28"/>
                <w:szCs w:val="28"/>
                <w:lang w:val="ru-RU" w:eastAsia="en-US" w:bidi="ar-SA"/>
              </w:rPr>
              <w:t xml:space="preserve">10. </w:t>
            </w:r>
            <w:bookmarkStart w:id="10" w:name="n223"/>
            <w:bookmarkEnd w:id="10"/>
            <w:r>
              <w:rPr>
                <w:rFonts w:ascii="Times New Roman" w:hAnsi="Times New Roman" w:cs="Times New Roman" w:eastAsiaTheme="minorHAnsi"/>
                <w:color w:val="00000A"/>
                <w:sz w:val="28"/>
                <w:szCs w:val="28"/>
                <w:lang w:val="ru-RU" w:eastAsia="en-US" w:bidi="ar-SA"/>
              </w:rPr>
              <w:t xml:space="preserve">Ринкова (оціночна) вартість об’єкта оренди для цілей оренди визначається на замовлення орендодавця, крім випадків, визначених цим пунктом. </w:t>
            </w:r>
          </w:p>
          <w:p>
            <w:pPr>
              <w:widowControl/>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11. Орендар, визначений за результатами аукціону або орендар, якому було передано в оренду об’єкт без аукціону, зобов’язаний відшкодувати орендодавцеві вартість проведення оцінки об’єкта оренди. Витрати, пов»язані з проведенням оцінки, а також з виготовленням технічної документації відшкодовуються відповідно до виставлених орендодавцем рахунків.</w:t>
            </w:r>
          </w:p>
          <w:p>
            <w:pPr>
              <w:widowControl/>
              <w:jc w:val="both"/>
              <w:rPr>
                <w:rFonts w:ascii="Times New Roman" w:hAnsi="Times New Roman" w:cs="Times New Roman" w:eastAsiaTheme="minorHAnsi"/>
                <w:color w:val="00000A"/>
                <w:sz w:val="28"/>
                <w:szCs w:val="28"/>
                <w:lang w:eastAsia="en-US" w:bidi="ar-SA"/>
              </w:rPr>
            </w:pPr>
            <w:r>
              <w:rPr>
                <w:rFonts w:ascii="Times New Roman" w:hAnsi="Times New Roman" w:cs="Times New Roman"/>
                <w:sz w:val="28"/>
                <w:szCs w:val="28"/>
              </w:rPr>
              <w:t xml:space="preserve">           12. Орендарі, за заявою яких нерухоме майно передається без проведення аукціону, окрім структурних підрозділів Дрогобицької міської ради, зобов»язані оплатити вартість оцінки нерухомого майна, виготовлення якої проводиться на замовлення управління майна громади чи іншого балансоутримувача на підставі виставлених орендодавцем рахунків. </w:t>
            </w:r>
          </w:p>
          <w:p>
            <w:pPr>
              <w:widowControl/>
              <w:jc w:val="both"/>
              <w:rPr>
                <w:rFonts w:ascii="Times New Roman" w:hAnsi="Times New Roman" w:cs="Times New Roman" w:eastAsiaTheme="minorHAnsi"/>
                <w:color w:val="00000A"/>
                <w:sz w:val="28"/>
                <w:szCs w:val="28"/>
                <w:lang w:val="ru-RU" w:eastAsia="en-US" w:bidi="ar-SA"/>
              </w:rPr>
            </w:pPr>
            <w:bookmarkStart w:id="11" w:name="n224"/>
            <w:bookmarkEnd w:id="11"/>
            <w:r>
              <w:rPr>
                <w:rFonts w:ascii="Times New Roman" w:hAnsi="Times New Roman" w:cs="Times New Roman" w:eastAsiaTheme="minorHAnsi"/>
                <w:color w:val="00000A"/>
                <w:sz w:val="28"/>
                <w:szCs w:val="28"/>
                <w:lang w:eastAsia="en-US" w:bidi="ar-SA"/>
              </w:rPr>
              <w:t xml:space="preserve">           13.  </w:t>
            </w:r>
            <w:r>
              <w:rPr>
                <w:rFonts w:ascii="Times New Roman" w:hAnsi="Times New Roman" w:cs="Times New Roman" w:eastAsiaTheme="minorHAnsi"/>
                <w:color w:val="00000A"/>
                <w:sz w:val="28"/>
                <w:szCs w:val="28"/>
                <w:lang w:val="ru-RU" w:eastAsia="en-US" w:bidi="ar-SA"/>
              </w:rPr>
              <w:t>Ринкова (оціночна) вартість об’єкта, який перебуває в оренді на підставі договору, який орендар бажає продовжити на новий строк без проведення аукціону у випадках, передбачених Законом, визначається на замовлення орендаря згідно з Порядком передачі майна в оренду як особи, у якої орендоване майно перебуває на законних підставах, без доручення орендодавця.</w:t>
            </w:r>
          </w:p>
          <w:p>
            <w:pPr>
              <w:widowControl/>
              <w:jc w:val="both"/>
              <w:rPr>
                <w:rFonts w:ascii="Times New Roman" w:hAnsi="Times New Roman" w:cs="Times New Roman" w:eastAsiaTheme="minorHAnsi"/>
                <w:color w:val="00000A"/>
                <w:sz w:val="28"/>
                <w:szCs w:val="28"/>
                <w:lang w:val="ru-RU" w:eastAsia="en-US" w:bidi="ar-SA"/>
              </w:rPr>
            </w:pPr>
            <w:bookmarkStart w:id="12" w:name="n225"/>
            <w:bookmarkEnd w:id="12"/>
            <w:r>
              <w:rPr>
                <w:rFonts w:ascii="Times New Roman" w:hAnsi="Times New Roman" w:cs="Times New Roman" w:eastAsiaTheme="minorHAnsi"/>
                <w:color w:val="00000A"/>
                <w:sz w:val="28"/>
                <w:szCs w:val="28"/>
                <w:lang w:val="ru-RU" w:eastAsia="en-US" w:bidi="ar-SA"/>
              </w:rPr>
              <w:t xml:space="preserve">           14. Ринкова (оціночна) вартість об’єкта оренди визначається відповідно до Методики оцінки майна, затвердженої Кабінетом Міністрів України.</w:t>
            </w:r>
          </w:p>
          <w:p>
            <w:pPr>
              <w:widowControl/>
              <w:jc w:val="both"/>
              <w:rPr>
                <w:rFonts w:ascii="Times New Roman" w:hAnsi="Times New Roman" w:cs="Times New Roman" w:eastAsiaTheme="minorHAnsi"/>
                <w:sz w:val="28"/>
                <w:szCs w:val="28"/>
                <w:lang w:val="ru-RU" w:eastAsia="en-US" w:bidi="ar-SA"/>
              </w:rPr>
            </w:pPr>
            <w:r>
              <w:rPr>
                <w:rFonts w:ascii="Times New Roman" w:hAnsi="Times New Roman" w:cs="Times New Roman" w:eastAsiaTheme="minorHAnsi"/>
                <w:sz w:val="28"/>
                <w:szCs w:val="28"/>
                <w:lang w:val="ru-RU" w:eastAsia="en-US" w:bidi="ar-SA"/>
              </w:rPr>
              <w:t xml:space="preserve">           15. Результати незалежної оцінки є чинними протягом 12 місяців від дати оцінки, якщо інший термін не передбачено у звіті з незалежної оцінки або чинним законодавством.</w:t>
            </w:r>
          </w:p>
          <w:p>
            <w:pPr>
              <w:widowControl/>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16. Річна орендна плата у розмірі 1 гривні встановлюється таким орендарям:</w:t>
            </w:r>
          </w:p>
          <w:p>
            <w:pPr>
              <w:widowControl/>
              <w:tabs>
                <w:tab w:val="left" w:pos="1272"/>
                <w:tab w:val="left" w:pos="1839"/>
              </w:tabs>
              <w:suppressAutoHyphens/>
              <w:ind w:left="563" w:hanging="567"/>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1) органам державної влади, іншим бюджетним організаціям, закладам, установам, які повністю фінансуються з державного бюджету;</w:t>
            </w:r>
          </w:p>
          <w:p>
            <w:pPr>
              <w:widowControl/>
              <w:tabs>
                <w:tab w:val="left" w:pos="1272"/>
                <w:tab w:val="left" w:pos="1839"/>
              </w:tabs>
              <w:suppressAutoHyphens/>
              <w:ind w:left="705" w:hanging="705"/>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2) структурним підрозділам Дрогобицької міської ради, установам і організаціям, які повністю або частково фінансуються з бюджету Дрогобицької міської територіальної громади;</w:t>
            </w:r>
          </w:p>
          <w:p>
            <w:pPr>
              <w:widowControl/>
              <w:tabs>
                <w:tab w:val="left" w:pos="1272"/>
                <w:tab w:val="left" w:pos="1839"/>
              </w:tabs>
              <w:suppressAutoHyphens/>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3) Пенсійному фонду  України та його органам;</w:t>
            </w:r>
          </w:p>
          <w:p>
            <w:pPr>
              <w:pStyle w:val="6"/>
              <w:widowControl/>
              <w:numPr>
                <w:ilvl w:val="0"/>
                <w:numId w:val="2"/>
              </w:numPr>
              <w:suppressAutoHyphens/>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музеям, які утримуються за рахунок державного та місцевого бюджетів;</w:t>
            </w:r>
          </w:p>
          <w:p>
            <w:pPr>
              <w:pStyle w:val="6"/>
              <w:widowControl/>
              <w:numPr>
                <w:ilvl w:val="0"/>
                <w:numId w:val="2"/>
              </w:numPr>
              <w:suppressAutoHyphens/>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комунальним закладам охорони здоров'я</w:t>
            </w:r>
            <w:r>
              <w:rPr>
                <w:rFonts w:ascii="Times New Roman" w:hAnsi="Times New Roman" w:cs="Times New Roman" w:eastAsiaTheme="minorHAnsi"/>
                <w:color w:val="00000A"/>
                <w:sz w:val="28"/>
                <w:szCs w:val="28"/>
                <w:lang w:eastAsia="en-US" w:bidi="ar-SA"/>
              </w:rPr>
              <w:t>, що фінансуються з місцевого, обласного та державного бюджету</w:t>
            </w:r>
            <w:r>
              <w:rPr>
                <w:rFonts w:ascii="Times New Roman" w:hAnsi="Times New Roman" w:cs="Times New Roman" w:eastAsiaTheme="minorHAnsi"/>
                <w:color w:val="00000A"/>
                <w:sz w:val="28"/>
                <w:szCs w:val="28"/>
                <w:lang w:val="ru-RU" w:eastAsia="en-US" w:bidi="ar-SA"/>
              </w:rPr>
              <w:t>;</w:t>
            </w:r>
          </w:p>
          <w:p>
            <w:pPr>
              <w:pStyle w:val="6"/>
              <w:widowControl/>
              <w:numPr>
                <w:ilvl w:val="0"/>
                <w:numId w:val="2"/>
              </w:numPr>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комунальним підприємствам </w:t>
            </w:r>
            <w:r>
              <w:rPr>
                <w:rFonts w:ascii="Times New Roman" w:hAnsi="Times New Roman" w:cs="Times New Roman" w:eastAsiaTheme="minorHAnsi"/>
                <w:color w:val="00000A"/>
                <w:sz w:val="28"/>
                <w:szCs w:val="28"/>
                <w:lang w:eastAsia="en-US" w:bidi="ar-SA"/>
              </w:rPr>
              <w:t>та установам</w:t>
            </w:r>
            <w:r>
              <w:rPr>
                <w:rFonts w:ascii="Times New Roman" w:hAnsi="Times New Roman" w:cs="Times New Roman" w:eastAsiaTheme="minorHAnsi"/>
                <w:color w:val="00000A"/>
                <w:sz w:val="28"/>
                <w:szCs w:val="28"/>
                <w:lang w:val="ru-RU" w:eastAsia="en-US" w:bidi="ar-SA"/>
              </w:rPr>
              <w:t xml:space="preserve"> Дрогобицької міської ради;</w:t>
            </w:r>
          </w:p>
          <w:p>
            <w:pPr>
              <w:pStyle w:val="6"/>
              <w:widowControl/>
              <w:numPr>
                <w:ilvl w:val="0"/>
                <w:numId w:val="2"/>
              </w:numPr>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закладам освіти </w:t>
            </w:r>
            <w:r>
              <w:rPr>
                <w:rFonts w:ascii="Times New Roman" w:hAnsi="Times New Roman" w:cs="Times New Roman" w:eastAsiaTheme="minorHAnsi"/>
                <w:color w:val="00000A"/>
                <w:sz w:val="28"/>
                <w:szCs w:val="28"/>
                <w:lang w:eastAsia="en-US" w:bidi="ar-SA"/>
              </w:rPr>
              <w:t xml:space="preserve">державної та </w:t>
            </w:r>
            <w:r>
              <w:rPr>
                <w:rFonts w:ascii="Times New Roman" w:hAnsi="Times New Roman" w:cs="Times New Roman" w:eastAsiaTheme="minorHAnsi"/>
                <w:color w:val="00000A"/>
                <w:sz w:val="28"/>
                <w:szCs w:val="28"/>
                <w:lang w:val="ru-RU" w:eastAsia="en-US" w:bidi="ar-SA"/>
              </w:rPr>
              <w:t>комунальної власності Дрогобицької міської ради;</w:t>
            </w:r>
          </w:p>
          <w:p>
            <w:pPr>
              <w:pStyle w:val="6"/>
              <w:widowControl/>
              <w:numPr>
                <w:ilvl w:val="0"/>
                <w:numId w:val="2"/>
              </w:numPr>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фонду соціального страхування, робочим органам його виконавчої дирекції та їх відділенням;</w:t>
            </w:r>
          </w:p>
          <w:p>
            <w:pPr>
              <w:pStyle w:val="6"/>
              <w:widowControl/>
              <w:numPr>
                <w:ilvl w:val="0"/>
                <w:numId w:val="2"/>
              </w:numPr>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державній службі зайнятості, регіональним та базовим центрам зайнятості;</w:t>
            </w:r>
          </w:p>
          <w:p>
            <w:pPr>
              <w:pStyle w:val="6"/>
              <w:widowControl/>
              <w:numPr>
                <w:ilvl w:val="0"/>
                <w:numId w:val="2"/>
              </w:numPr>
              <w:tabs>
                <w:tab w:val="left" w:pos="705"/>
                <w:tab w:val="left" w:pos="847"/>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державним та комунальним телерадіоорганізація</w:t>
            </w:r>
            <w:r>
              <w:rPr>
                <w:rFonts w:ascii="Times New Roman" w:hAnsi="Times New Roman" w:cs="Times New Roman" w:eastAsiaTheme="minorHAnsi"/>
                <w:color w:val="00000A"/>
                <w:sz w:val="28"/>
                <w:szCs w:val="28"/>
                <w:lang w:eastAsia="en-US" w:bidi="ar-SA"/>
              </w:rPr>
              <w:t>м</w:t>
            </w:r>
            <w:r>
              <w:rPr>
                <w:rFonts w:ascii="Times New Roman" w:hAnsi="Times New Roman" w:cs="Times New Roman" w:eastAsiaTheme="minorHAnsi"/>
                <w:color w:val="00000A"/>
                <w:sz w:val="28"/>
                <w:szCs w:val="28"/>
                <w:lang w:val="ru-RU" w:eastAsia="en-US" w:bidi="ar-SA"/>
              </w:rPr>
              <w:t>;</w:t>
            </w:r>
          </w:p>
          <w:p>
            <w:pPr>
              <w:pStyle w:val="6"/>
              <w:widowControl/>
              <w:numPr>
                <w:ilvl w:val="0"/>
                <w:numId w:val="2"/>
              </w:numPr>
              <w:tabs>
                <w:tab w:val="left" w:pos="847"/>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eastAsia="en-US" w:bidi="ar-SA"/>
              </w:rPr>
              <w:t xml:space="preserve">українській скаутській організації «Пласт»; </w:t>
            </w:r>
          </w:p>
          <w:p>
            <w:pPr>
              <w:pStyle w:val="6"/>
              <w:widowControl/>
              <w:numPr>
                <w:ilvl w:val="0"/>
                <w:numId w:val="2"/>
              </w:numPr>
              <w:tabs>
                <w:tab w:val="left" w:pos="847"/>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товариству Червоного Хреста України та його місцевим організаціям;</w:t>
            </w:r>
          </w:p>
          <w:p>
            <w:pPr>
              <w:pStyle w:val="6"/>
              <w:widowControl/>
              <w:numPr>
                <w:ilvl w:val="0"/>
                <w:numId w:val="2"/>
              </w:numPr>
              <w:tabs>
                <w:tab w:val="left" w:pos="989"/>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особам з інвалідністю з метою використання під гаражі для спеціальних засобів пересування;</w:t>
            </w:r>
          </w:p>
          <w:p>
            <w:pPr>
              <w:pStyle w:val="6"/>
              <w:widowControl/>
              <w:numPr>
                <w:ilvl w:val="0"/>
                <w:numId w:val="2"/>
              </w:numPr>
              <w:tabs>
                <w:tab w:val="left" w:pos="847"/>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редакціям державних і комунальних періодичних видань, заснованих державними науково-дослідними установами, трудовими і журналістськими колективами;</w:t>
            </w:r>
          </w:p>
          <w:p>
            <w:pPr>
              <w:pStyle w:val="6"/>
              <w:widowControl/>
              <w:numPr>
                <w:ilvl w:val="0"/>
                <w:numId w:val="2"/>
              </w:numPr>
              <w:suppressAutoHyphens/>
              <w:spacing w:after="160"/>
              <w:ind w:left="847" w:hanging="487"/>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eastAsia="en-US" w:bidi="ar-SA"/>
              </w:rPr>
              <w:t xml:space="preserve"> </w:t>
            </w:r>
            <w:r>
              <w:rPr>
                <w:rFonts w:ascii="Times New Roman" w:hAnsi="Times New Roman" w:cs="Times New Roman" w:eastAsiaTheme="minorHAnsi"/>
                <w:color w:val="00000A"/>
                <w:sz w:val="28"/>
                <w:szCs w:val="28"/>
                <w:lang w:val="ru-RU" w:eastAsia="en-US" w:bidi="ar-SA"/>
              </w:rPr>
              <w:t>національним художнім колективам, яким надається фінансова підтримка з державного бюджету</w:t>
            </w:r>
            <w:r>
              <w:rPr>
                <w:rFonts w:ascii="Times New Roman" w:hAnsi="Times New Roman" w:cs="Times New Roman" w:eastAsiaTheme="minorHAnsi"/>
                <w:color w:val="00000A"/>
                <w:sz w:val="28"/>
                <w:szCs w:val="28"/>
                <w:lang w:eastAsia="en-US" w:bidi="ar-SA"/>
              </w:rPr>
              <w:t xml:space="preserve"> та місцевого бюджету</w:t>
            </w:r>
            <w:r>
              <w:rPr>
                <w:rFonts w:ascii="Times New Roman" w:hAnsi="Times New Roman" w:cs="Times New Roman" w:eastAsiaTheme="minorHAnsi"/>
                <w:color w:val="00000A"/>
                <w:sz w:val="28"/>
                <w:szCs w:val="28"/>
                <w:lang w:val="ru-RU" w:eastAsia="en-US" w:bidi="ar-SA"/>
              </w:rPr>
              <w:t>;</w:t>
            </w:r>
          </w:p>
          <w:p>
            <w:pPr>
              <w:pStyle w:val="6"/>
              <w:widowControl/>
              <w:numPr>
                <w:ilvl w:val="0"/>
                <w:numId w:val="2"/>
              </w:numPr>
              <w:tabs>
                <w:tab w:val="left" w:pos="847"/>
              </w:tabs>
              <w:suppressAutoHyphens/>
              <w:spacing w:after="160"/>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релігійним організаціям всіх форм власності для забезпечення проведення Богослужінь, релігійних обрядів, церемоній та надання освітніх і соціальних послуг.</w:t>
            </w:r>
          </w:p>
          <w:p>
            <w:pPr>
              <w:pStyle w:val="6"/>
              <w:widowControl/>
              <w:numPr>
                <w:ilvl w:val="0"/>
                <w:numId w:val="3"/>
              </w:numPr>
              <w:suppressAutoHyphens/>
              <w:ind w:left="0"/>
              <w:jc w:val="both"/>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17. Об»єкти оренди, вказані у п. 16 Методики підлягають включенню до Переліку об»єктів другого типу і передаються в оренду без аукціону за наявності рішення сесії Дрогобицької міської ради та попереднього погодження постійної комісії ради з питань оренди та приватизації, промисловості, торгівлі</w:t>
            </w:r>
            <w:r>
              <w:rPr>
                <w:rFonts w:ascii="Times New Roman" w:hAnsi="Times New Roman" w:eastAsia="Times New Roman" w:cs="Times New Roman"/>
                <w:sz w:val="28"/>
                <w:szCs w:val="28"/>
                <w:lang w:eastAsia="ru-RU"/>
              </w:rPr>
              <w:t>, громадського харчування, побутового обслуговування,  малого та середнього бізнесу.</w:t>
            </w:r>
          </w:p>
          <w:p>
            <w:pPr>
              <w:pStyle w:val="6"/>
              <w:widowControl/>
              <w:numPr>
                <w:ilvl w:val="0"/>
                <w:numId w:val="3"/>
              </w:numPr>
              <w:suppressAutoHyphens/>
              <w:ind w:left="0"/>
              <w:jc w:val="both"/>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         18.  Беручи до уваги соціальну значимість діяльності орендаря, вагомий внесок у розвиток Дрогобицької міської територіальної громади, оренду нежитлового приміщення протягом 3 і більше років з дотриманням усіх умов договору оренди, </w:t>
            </w:r>
            <w:r>
              <w:rPr>
                <w:rFonts w:ascii="Times New Roman" w:hAnsi="Times New Roman" w:cs="Times New Roman"/>
                <w:sz w:val="28"/>
                <w:szCs w:val="28"/>
              </w:rPr>
              <w:t>сесія Дрогобицької міської ради за умови попереднього погодження постійної комісії ради з питань оренди та приватизації, промисловості, торгівлі</w:t>
            </w:r>
            <w:r>
              <w:rPr>
                <w:rFonts w:ascii="Times New Roman" w:hAnsi="Times New Roman" w:eastAsia="Times New Roman" w:cs="Times New Roman"/>
                <w:sz w:val="28"/>
                <w:szCs w:val="28"/>
                <w:lang w:eastAsia="ru-RU"/>
              </w:rPr>
              <w:t>, громадського харчування, побутового обслуговування,  малого та середнього бізнесу може надати дозвіл на включення до Переліку другого типу та укладення договору оренди без проведення аукціону.</w:t>
            </w:r>
          </w:p>
          <w:p>
            <w:pPr>
              <w:widowControl/>
              <w:suppressAutoHyphens/>
              <w:jc w:val="both"/>
              <w:rPr>
                <w:rFonts w:ascii="Times New Roman" w:hAnsi="Times New Roman" w:cs="Times New Roman"/>
                <w:sz w:val="28"/>
                <w:szCs w:val="28"/>
              </w:rPr>
            </w:pPr>
            <w:r>
              <w:rPr>
                <w:rFonts w:ascii="Times New Roman" w:hAnsi="Times New Roman" w:cs="Times New Roman"/>
                <w:sz w:val="28"/>
                <w:szCs w:val="28"/>
              </w:rPr>
              <w:t xml:space="preserve">          19. Рішенням Дрогобицької міської ради для орендарів може встановлюватися інший розмір орендної плати, ніж передбачений цією Методикою. Звернення щодо встановлення окремо визначеного розміру орендної плати на наступний бюджетний рік подаються орендарями на ім’я міського голови м. Дрогобича не пізніше ніж за 3 місяці до закінчення бюджетного року.</w:t>
            </w:r>
          </w:p>
          <w:p>
            <w:pPr>
              <w:widowControl/>
              <w:suppressAutoHyphens/>
              <w:ind w:firstLine="713"/>
              <w:jc w:val="both"/>
              <w:rPr>
                <w:rFonts w:ascii="Times New Roman" w:hAnsi="Times New Roman" w:cs="Times New Roman" w:eastAsiaTheme="minorHAnsi"/>
                <w:color w:val="00000A"/>
                <w:sz w:val="28"/>
                <w:szCs w:val="28"/>
                <w:lang w:eastAsia="en-US" w:bidi="ar-SA"/>
              </w:rPr>
            </w:pPr>
            <w:r>
              <w:rPr>
                <w:rFonts w:ascii="Times New Roman" w:hAnsi="Times New Roman" w:cs="Times New Roman" w:eastAsiaTheme="minorHAnsi"/>
                <w:color w:val="00000A"/>
                <w:sz w:val="28"/>
                <w:szCs w:val="28"/>
                <w:lang w:eastAsia="en-US" w:bidi="ar-SA"/>
              </w:rPr>
              <w:t>20. Розмір річної орендної плати у разі оренди іншого окремого індивідуально визначеного майна (крім транспортних засобів) встановлюється на рівні 10 відсотків вартості об’єкта оренди.</w:t>
            </w:r>
          </w:p>
          <w:p>
            <w:pPr>
              <w:widowControl/>
              <w:ind w:firstLine="567"/>
              <w:jc w:val="both"/>
              <w:rPr>
                <w:rFonts w:ascii="Times New Roman" w:hAnsi="Times New Roman" w:eastAsia="Times New Roman" w:cs="Times New Roman"/>
                <w:color w:val="00000A"/>
                <w:sz w:val="28"/>
                <w:szCs w:val="28"/>
                <w:lang w:eastAsia="ru-RU" w:bidi="ar-SA"/>
              </w:rPr>
            </w:pPr>
            <w:r>
              <w:rPr>
                <w:rFonts w:ascii="Times New Roman" w:hAnsi="Times New Roman" w:eastAsia="Times New Roman" w:cs="Times New Roman"/>
                <w:color w:val="00000A"/>
                <w:sz w:val="28"/>
                <w:szCs w:val="28"/>
                <w:lang w:eastAsia="ru-RU" w:bidi="ar-SA"/>
              </w:rPr>
              <w:t xml:space="preserve">  21. Розмір річної орендної плати у разі оренди транспортних засобів встановлюється на рівні 7 відсотків вартості об’єкта оренди.</w:t>
            </w:r>
          </w:p>
          <w:p>
            <w:pPr>
              <w:widowControl/>
              <w:jc w:val="both"/>
              <w:rPr>
                <w:rFonts w:ascii="Times New Roman" w:hAnsi="Times New Roman" w:eastAsia="Times New Roman" w:cs="Times New Roman"/>
                <w:color w:val="00000A"/>
                <w:sz w:val="28"/>
                <w:szCs w:val="28"/>
                <w:lang w:eastAsia="ru-RU" w:bidi="ar-SA"/>
              </w:rPr>
            </w:pPr>
            <w:r>
              <w:rPr>
                <w:rFonts w:ascii="Times New Roman" w:hAnsi="Times New Roman" w:eastAsia="Times New Roman" w:cs="Times New Roman"/>
                <w:color w:val="00000A"/>
                <w:sz w:val="28"/>
                <w:szCs w:val="28"/>
                <w:lang w:eastAsia="ru-RU" w:bidi="ar-SA"/>
              </w:rPr>
              <w:t xml:space="preserve">         22. У разі, коли орендарем є суб’єкт малого підприємництва, розмір річної орендної плати за оренду іншого окремого індивідуально визначеного майна, у тому числі транспортних засобів, становить 7 відсотків вартості об’єкта оренди.</w:t>
            </w:r>
          </w:p>
          <w:p>
            <w:pPr>
              <w:jc w:val="both"/>
              <w:rPr>
                <w:rFonts w:ascii="Times New Roman" w:hAnsi="Times New Roman" w:cs="Times New Roman" w:eastAsiaTheme="minorHAnsi"/>
                <w:color w:val="00000A"/>
                <w:sz w:val="28"/>
                <w:szCs w:val="28"/>
                <w:lang w:eastAsia="en-US" w:bidi="ar-SA"/>
              </w:rPr>
            </w:pPr>
            <w:r>
              <w:rPr>
                <w:rFonts w:ascii="Times New Roman" w:hAnsi="Times New Roman" w:cs="Times New Roman"/>
                <w:sz w:val="28"/>
                <w:szCs w:val="28"/>
              </w:rPr>
              <w:t xml:space="preserve">     </w:t>
            </w:r>
            <w:r>
              <w:rPr>
                <w:rFonts w:ascii="Times New Roman" w:hAnsi="Times New Roman" w:cs="Times New Roman" w:eastAsiaTheme="minorHAnsi"/>
                <w:color w:val="00000A"/>
                <w:sz w:val="28"/>
                <w:szCs w:val="28"/>
                <w:lang w:eastAsia="en-US" w:bidi="ar-SA"/>
              </w:rPr>
              <w:t xml:space="preserve">    23. Суми гарантійного внеску сплачуються усіма орендарями, окрім тих, що передбачені у п. 16 даної Методики.</w:t>
            </w:r>
          </w:p>
          <w:p>
            <w:pPr>
              <w:widowControl/>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24. Оподаткування орендної плати здійснюється відповідно до вимог  законодавства України.</w:t>
            </w:r>
          </w:p>
          <w:p>
            <w:pPr>
              <w:widowControl/>
              <w:jc w:val="both"/>
              <w:rPr>
                <w:rFonts w:ascii="Times New Roman" w:hAnsi="Times New Roman" w:cs="Times New Roman" w:eastAsiaTheme="minorHAnsi"/>
                <w:color w:val="00000A"/>
                <w:sz w:val="28"/>
                <w:szCs w:val="28"/>
                <w:lang w:val="ru-RU" w:eastAsia="en-US" w:bidi="ar-SA"/>
              </w:rPr>
            </w:pPr>
            <w:r>
              <w:rPr>
                <w:rFonts w:ascii="Times New Roman" w:hAnsi="Times New Roman" w:cs="Times New Roman" w:eastAsiaTheme="minorHAnsi"/>
                <w:color w:val="00000A"/>
                <w:sz w:val="28"/>
                <w:szCs w:val="28"/>
                <w:lang w:val="ru-RU" w:eastAsia="en-US" w:bidi="ar-SA"/>
              </w:rPr>
              <w:t xml:space="preserve">         25. Додатки № 1 та № 2 до цієї Методики застосовуються до договорів оренди, що укладаються або продовжуються після набрання чинності цією Методикою. </w:t>
            </w: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spacing w:before="250" w:line="278" w:lineRule="exact"/>
              <w:ind w:right="19"/>
              <w:jc w:val="both"/>
              <w:rPr>
                <w:rFonts w:ascii="Times New Roman" w:hAnsi="Times New Roman"/>
                <w:b/>
                <w:sz w:val="28"/>
                <w:szCs w:val="28"/>
              </w:rPr>
            </w:pPr>
            <w:r>
              <w:rPr>
                <w:rFonts w:ascii="Times New Roman" w:hAnsi="Times New Roman"/>
                <w:b/>
                <w:sz w:val="28"/>
                <w:szCs w:val="28"/>
              </w:rPr>
              <w:t>В. о. начальника управління майна громади                  Маріанна СВІДОВСЬКА</w:t>
            </w:r>
          </w:p>
          <w:p>
            <w:pPr>
              <w:pStyle w:val="6"/>
              <w:spacing w:before="207"/>
              <w:ind w:left="0" w:right="-285"/>
              <w:jc w:val="both"/>
              <w:rPr>
                <w:b/>
                <w:sz w:val="28"/>
                <w:szCs w:val="28"/>
              </w:rPr>
            </w:pPr>
          </w:p>
          <w:p>
            <w:pPr>
              <w:widowControl/>
              <w:rPr>
                <w:rFonts w:ascii="Times New Roman" w:hAnsi="Times New Roman" w:cs="Times New Roman" w:eastAsiaTheme="minorHAnsi"/>
                <w:color w:val="00000A"/>
                <w:lang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 xml:space="preserve">Додаток №1 </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 xml:space="preserve">до Методики розрахунку </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орендної плати за користування майном</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Дрогобицької міської територіальної громади</w:t>
            </w:r>
          </w:p>
          <w:p>
            <w:pPr>
              <w:widowControl/>
              <w:jc w:val="both"/>
              <w:rPr>
                <w:rFonts w:ascii="Times New Roman" w:hAnsi="Times New Roman" w:cs="Times New Roman" w:eastAsiaTheme="minorHAnsi"/>
                <w:b/>
                <w:color w:val="00000A"/>
                <w:lang w:val="ru-RU" w:eastAsia="en-US" w:bidi="ar-SA"/>
              </w:rPr>
            </w:pPr>
          </w:p>
          <w:p>
            <w:pPr>
              <w:widowControl/>
              <w:jc w:val="both"/>
              <w:rPr>
                <w:rFonts w:ascii="Times New Roman" w:hAnsi="Times New Roman" w:cs="Times New Roman" w:eastAsiaTheme="minorHAnsi"/>
                <w:b/>
                <w:color w:val="00000A"/>
                <w:lang w:val="ru-RU" w:eastAsia="en-US" w:bidi="ar-SA"/>
              </w:rPr>
            </w:pPr>
          </w:p>
          <w:p>
            <w:pPr>
              <w:widowControl/>
              <w:jc w:val="center"/>
              <w:rPr>
                <w:rFonts w:ascii="Times New Roman" w:hAnsi="Times New Roman" w:cs="Times New Roman" w:eastAsiaTheme="minorHAnsi"/>
                <w:b/>
                <w:color w:val="00000A"/>
                <w:sz w:val="28"/>
                <w:szCs w:val="28"/>
                <w:lang w:val="ru-RU" w:eastAsia="en-US" w:bidi="ar-SA"/>
              </w:rPr>
            </w:pPr>
            <w:bookmarkStart w:id="13" w:name="n76"/>
            <w:bookmarkEnd w:id="13"/>
            <w:r>
              <w:rPr>
                <w:rFonts w:ascii="Times New Roman" w:hAnsi="Times New Roman" w:eastAsia="Times New Roman" w:cs="Times New Roman"/>
                <w:b/>
                <w:bCs/>
                <w:color w:val="333333"/>
                <w:sz w:val="28"/>
                <w:szCs w:val="28"/>
                <w:lang w:val="ru-RU" w:eastAsia="en-US" w:bidi="ar-SA"/>
              </w:rPr>
              <w:t>ОРЕНДНІ</w:t>
            </w:r>
            <w:r>
              <w:rPr>
                <w:rFonts w:ascii="Times New Roman" w:hAnsi="Times New Roman" w:eastAsia="Times New Roman" w:cs="Times New Roman"/>
                <w:color w:val="333333"/>
                <w:lang w:val="ru-RU" w:eastAsia="en-US" w:bidi="ar-SA"/>
              </w:rPr>
              <w:br w:type="textWrapping"/>
            </w:r>
            <w:r>
              <w:rPr>
                <w:rFonts w:ascii="Times New Roman" w:hAnsi="Times New Roman" w:eastAsia="Times New Roman" w:cs="Times New Roman"/>
                <w:b/>
                <w:bCs/>
                <w:color w:val="333333"/>
                <w:sz w:val="28"/>
                <w:szCs w:val="28"/>
                <w:lang w:val="ru-RU" w:eastAsia="en-US" w:bidi="ar-SA"/>
              </w:rPr>
              <w:t xml:space="preserve">ставки </w:t>
            </w:r>
            <w:r>
              <w:rPr>
                <w:rFonts w:ascii="Times New Roman" w:hAnsi="Times New Roman" w:cs="Times New Roman" w:eastAsiaTheme="minorHAnsi"/>
                <w:b/>
                <w:color w:val="00000A"/>
                <w:sz w:val="28"/>
                <w:szCs w:val="28"/>
                <w:lang w:val="ru-RU" w:eastAsia="en-US" w:bidi="ar-SA"/>
              </w:rPr>
              <w:t>для договорів оренди комунального майна</w:t>
            </w:r>
          </w:p>
          <w:p>
            <w:pPr>
              <w:widowControl/>
              <w:shd w:val="clear" w:color="auto" w:fill="FFFFFF"/>
              <w:rPr>
                <w:rFonts w:ascii="Times New Roman" w:hAnsi="Times New Roman" w:eastAsia="Times New Roman" w:cs="Times New Roman"/>
                <w:color w:val="333333"/>
                <w:lang w:val="ru-RU" w:eastAsia="en-US" w:bidi="ar-SA"/>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4"/>
              <w:gridCol w:w="2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jc w:val="center"/>
                    <w:rPr>
                      <w:rFonts w:ascii="Times New Roman" w:hAnsi="Times New Roman" w:eastAsia="Times New Roman" w:cs="Times New Roman"/>
                      <w:color w:val="auto"/>
                      <w:lang w:val="ru-RU" w:eastAsia="en-US" w:bidi="ar-SA"/>
                    </w:rPr>
                  </w:pPr>
                  <w:bookmarkStart w:id="14" w:name="n243"/>
                  <w:bookmarkEnd w:id="14"/>
                  <w:r>
                    <w:rPr>
                      <w:rFonts w:ascii="Times New Roman" w:hAnsi="Times New Roman" w:eastAsia="Times New Roman" w:cs="Times New Roman"/>
                      <w:color w:val="auto"/>
                      <w:lang w:val="ru-RU" w:eastAsia="en-US" w:bidi="ar-SA"/>
                    </w:rPr>
                    <w:t>Орендарі</w:t>
                  </w:r>
                </w:p>
              </w:tc>
              <w:tc>
                <w:tcPr>
                  <w:tcW w:w="2675" w:type="dxa"/>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Орендна ставка, відсотків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 Для організації та проведення науково-практичних, культурних, мистецьких, громадських, суспільних та політичних заходів на строк, що не перевищує</w:t>
                  </w:r>
                  <w:r>
                    <w:rPr>
                      <w:rFonts w:ascii="Times New Roman" w:hAnsi="Times New Roman" w:eastAsia="Times New Roman" w:cs="Times New Roman"/>
                      <w:color w:val="auto"/>
                      <w:lang w:eastAsia="en-US" w:bidi="ar-SA"/>
                    </w:rPr>
                    <w:t> </w:t>
                  </w:r>
                  <w:r>
                    <w:rPr>
                      <w:rFonts w:ascii="Times New Roman" w:hAnsi="Times New Roman" w:eastAsia="Times New Roman" w:cs="Times New Roman"/>
                      <w:color w:val="auto"/>
                      <w:lang w:val="ru-RU" w:eastAsia="en-US" w:bidi="ar-SA"/>
                    </w:rPr>
                    <w:t xml:space="preserve"> 30 календарних днів протягом одного року щодо кожного орендаря, якщо балансоутримувачем є комунальне підприємство, установа, організація, що провадить діяльність з організації конгресів і торговельних виставок</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 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пунктах 11 та 18 цього додатка).</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 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 Державні та комунальні підприємства, установи, організації/ громадські організації у сфері культури і мистецтв (у тому числі національні творчі спілки або їх члени під творчі майстерні)</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5. Державні видавництва і підприємства книгорозповсюдження</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6. Вітчизняні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xml:space="preserve">7. Дипломатичні представництва, консульські установи іноземних держав, представництва міжнародних організацій в Україні </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p>
              </w:tc>
              <w:tc>
                <w:tcPr>
                  <w:tcW w:w="2675" w:type="dxa"/>
                </w:tcPr>
                <w:p>
                  <w:pPr>
                    <w:widowControl/>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8. Приватні заклади загальної середньої освіти (суб’єкти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9.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 Державні та комунальні спортивні клуби,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фізкультурно-оздоровчі заклади, центри фізичного здоров’я населення, центри фізичної культури і спорту осіб з інвалідністю.</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11. 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 Спеціалізовані підприємства, установи та заклади соціального обслуговування, що надають соціальні послуги відповідно до</w:t>
                  </w:r>
                  <w:r>
                    <w:rPr>
                      <w:rFonts w:ascii="Times New Roman" w:hAnsi="Times New Roman" w:eastAsia="Times New Roman" w:cs="Times New Roman"/>
                      <w:color w:val="auto"/>
                      <w:lang w:eastAsia="en-US" w:bidi="ar-SA"/>
                    </w:rPr>
                    <w:t> </w:t>
                  </w:r>
                  <w:r>
                    <w:fldChar w:fldCharType="begin"/>
                  </w:r>
                  <w:r>
                    <w:instrText xml:space="preserve"> HYPERLINK "https://zakon.rada.gov.ua/laws/show/2671-19" \t "_blank" </w:instrText>
                  </w:r>
                  <w:r>
                    <w:fldChar w:fldCharType="separate"/>
                  </w:r>
                  <w:r>
                    <w:rPr>
                      <w:rFonts w:ascii="Times New Roman" w:hAnsi="Times New Roman" w:eastAsia="Times New Roman" w:cs="Times New Roman"/>
                      <w:color w:val="000099"/>
                      <w:u w:val="single"/>
                      <w:lang w:val="ru-RU" w:eastAsia="en-US" w:bidi="ar-SA"/>
                    </w:rPr>
                    <w:t>Закону України</w:t>
                  </w:r>
                  <w:r>
                    <w:rPr>
                      <w:rFonts w:ascii="Times New Roman" w:hAnsi="Times New Roman" w:eastAsia="Times New Roman" w:cs="Times New Roman"/>
                      <w:color w:val="000099"/>
                      <w:u w:val="single"/>
                      <w:lang w:val="ru-RU" w:eastAsia="en-US" w:bidi="ar-SA"/>
                    </w:rPr>
                    <w:fldChar w:fldCharType="end"/>
                  </w:r>
                  <w:r>
                    <w:rPr>
                      <w:rFonts w:ascii="Times New Roman" w:hAnsi="Times New Roman" w:eastAsia="Times New Roman" w:cs="Times New Roman"/>
                      <w:color w:val="auto"/>
                      <w:lang w:eastAsia="en-US" w:bidi="ar-SA"/>
                    </w:rPr>
                    <w:t> </w:t>
                  </w:r>
                  <w:r>
                    <w:rPr>
                      <w:rFonts w:ascii="Times New Roman" w:hAnsi="Times New Roman" w:eastAsia="Times New Roman" w:cs="Times New Roman"/>
                      <w:color w:val="auto"/>
                      <w:lang w:val="ru-RU" w:eastAsia="en-US" w:bidi="ar-SA"/>
                    </w:rPr>
                    <w:t>“Про соціальні послуги”</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13. Народні депутати України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w:t>
                  </w:r>
                </w:p>
              </w:tc>
              <w:tc>
                <w:tcPr>
                  <w:tcW w:w="2675" w:type="dxa"/>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50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50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14.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w:t>
                  </w:r>
                </w:p>
              </w:tc>
              <w:tc>
                <w:tcPr>
                  <w:tcW w:w="2675" w:type="dxa"/>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50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50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15. Громадські організації ветеранів для розміщення реабілітаційних установ для ветеранів:</w:t>
                  </w:r>
                </w:p>
              </w:tc>
              <w:tc>
                <w:tcPr>
                  <w:tcW w:w="2675" w:type="dxa"/>
                </w:tcPr>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100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100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16. Реабілітаційні установи для осіб з інвалідністю та дітей з інвалідністю для розміщення таких реабілітаційних установ:</w:t>
                  </w:r>
                </w:p>
              </w:tc>
              <w:tc>
                <w:tcPr>
                  <w:tcW w:w="2675" w:type="dxa"/>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100 кв. метрів</w:t>
                  </w:r>
                </w:p>
              </w:tc>
              <w:tc>
                <w:tcPr>
                  <w:tcW w:w="2675" w:type="dxa"/>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100 кв. метрів</w:t>
                  </w:r>
                </w:p>
              </w:tc>
              <w:tc>
                <w:tcPr>
                  <w:tcW w:w="2675" w:type="dxa"/>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4" w:type="dxa"/>
                </w:tcPr>
                <w:p>
                  <w:pPr>
                    <w:widowControl/>
                    <w:rPr>
                      <w:rFonts w:ascii="Times New Roman" w:hAnsi="Times New Roman" w:eastAsia="Times New Roman" w:cs="Times New Roman"/>
                      <w:color w:val="auto"/>
                      <w:lang w:val="ru-RU" w:eastAsia="en-US" w:bidi="ar-SA"/>
                    </w:rPr>
                  </w:pPr>
                </w:p>
              </w:tc>
              <w:tc>
                <w:tcPr>
                  <w:tcW w:w="2675" w:type="dxa"/>
                </w:tcPr>
                <w:p>
                  <w:pPr>
                    <w:widowControl/>
                    <w:jc w:val="center"/>
                    <w:rPr>
                      <w:rFonts w:ascii="Times New Roman" w:hAnsi="Times New Roman" w:eastAsia="Times New Roman" w:cs="Times New Roman"/>
                      <w:color w:val="auto"/>
                      <w:lang w:val="ru-RU" w:eastAsia="en-US" w:bidi="ar-SA"/>
                    </w:rPr>
                  </w:pPr>
                </w:p>
              </w:tc>
            </w:tr>
          </w:tbl>
          <w:p>
            <w:pPr>
              <w:widowControl/>
              <w:rPr>
                <w:rFonts w:ascii="Times New Roman" w:hAnsi="Times New Roman" w:cs="Times New Roman" w:eastAsiaTheme="minorHAnsi"/>
                <w:color w:val="00000A"/>
                <w:lang w:val="ru-RU" w:eastAsia="en-US" w:bidi="ar-SA"/>
              </w:rPr>
            </w:pPr>
            <w:bookmarkStart w:id="15" w:name="n248"/>
            <w:bookmarkEnd w:id="15"/>
          </w:p>
          <w:p>
            <w:pPr>
              <w:widowControl/>
              <w:jc w:val="right"/>
              <w:rPr>
                <w:rFonts w:ascii="Times New Roman" w:hAnsi="Times New Roman" w:cs="Times New Roman" w:eastAsiaTheme="minorHAnsi"/>
                <w:color w:val="00000A"/>
                <w:lang w:val="ru-RU" w:eastAsia="en-US" w:bidi="ar-SA"/>
              </w:rPr>
            </w:pPr>
          </w:p>
          <w:p>
            <w:pPr>
              <w:spacing w:before="250" w:line="278" w:lineRule="exact"/>
              <w:ind w:right="19"/>
              <w:jc w:val="both"/>
              <w:rPr>
                <w:rFonts w:ascii="Times New Roman" w:hAnsi="Times New Roman"/>
                <w:b/>
                <w:sz w:val="28"/>
                <w:szCs w:val="28"/>
              </w:rPr>
            </w:pPr>
            <w:r>
              <w:rPr>
                <w:rFonts w:ascii="Times New Roman" w:hAnsi="Times New Roman"/>
                <w:b/>
                <w:sz w:val="28"/>
                <w:szCs w:val="28"/>
              </w:rPr>
              <w:t>В. о. начальника управління майна громади                  Маріанна СВІДОВСЬКА</w:t>
            </w:r>
          </w:p>
          <w:p>
            <w:pPr>
              <w:pStyle w:val="6"/>
              <w:spacing w:before="207"/>
              <w:ind w:left="0" w:right="-285"/>
              <w:jc w:val="both"/>
              <w:rPr>
                <w:b/>
                <w:sz w:val="28"/>
                <w:szCs w:val="28"/>
              </w:rPr>
            </w:pPr>
          </w:p>
          <w:p>
            <w:pPr>
              <w:widowControl/>
              <w:jc w:val="both"/>
              <w:rPr>
                <w:rFonts w:ascii="Times New Roman" w:hAnsi="Times New Roman" w:cs="Times New Roman" w:eastAsiaTheme="minorHAnsi"/>
                <w:b/>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 xml:space="preserve">Додаток № 2 </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до Методики розрахунку</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 xml:space="preserve"> орендної плати за користування майном</w:t>
            </w:r>
          </w:p>
          <w:p>
            <w:pPr>
              <w:widowControl/>
              <w:jc w:val="right"/>
              <w:rPr>
                <w:rFonts w:ascii="Times New Roman" w:hAnsi="Times New Roman" w:cs="Times New Roman" w:eastAsiaTheme="minorHAnsi"/>
                <w:color w:val="00000A"/>
                <w:lang w:val="ru-RU" w:eastAsia="en-US" w:bidi="ar-SA"/>
              </w:rPr>
            </w:pPr>
            <w:r>
              <w:rPr>
                <w:rFonts w:ascii="Times New Roman" w:hAnsi="Times New Roman" w:cs="Times New Roman" w:eastAsiaTheme="minorHAnsi"/>
                <w:color w:val="00000A"/>
                <w:lang w:val="ru-RU" w:eastAsia="en-US" w:bidi="ar-SA"/>
              </w:rPr>
              <w:t>Дрогобицької міської територіальної громади</w:t>
            </w:r>
          </w:p>
          <w:p>
            <w:pPr>
              <w:widowControl/>
              <w:jc w:val="both"/>
              <w:rPr>
                <w:rFonts w:ascii="Times New Roman" w:hAnsi="Times New Roman" w:cs="Times New Roman" w:eastAsiaTheme="minorHAnsi"/>
                <w:color w:val="00000A"/>
                <w:lang w:val="ru-RU" w:eastAsia="en-US" w:bidi="ar-SA"/>
              </w:rPr>
            </w:pPr>
          </w:p>
          <w:p>
            <w:pPr>
              <w:widowControl/>
              <w:jc w:val="center"/>
              <w:rPr>
                <w:rFonts w:ascii="Times New Roman" w:hAnsi="Times New Roman" w:cs="Times New Roman" w:eastAsiaTheme="minorHAnsi"/>
                <w:b/>
                <w:color w:val="00000A"/>
                <w:sz w:val="28"/>
                <w:szCs w:val="28"/>
                <w:lang w:val="ru-RU" w:eastAsia="en-US" w:bidi="ar-SA"/>
              </w:rPr>
            </w:pPr>
            <w:r>
              <w:rPr>
                <w:rFonts w:ascii="Times New Roman" w:hAnsi="Times New Roman" w:cs="Times New Roman" w:eastAsiaTheme="minorHAnsi"/>
                <w:b/>
                <w:color w:val="00000A"/>
                <w:sz w:val="28"/>
                <w:szCs w:val="28"/>
                <w:lang w:val="ru-RU" w:eastAsia="en-US" w:bidi="ar-SA"/>
              </w:rPr>
              <w:t>ОРЕНДНІ СТАВКИ</w:t>
            </w:r>
          </w:p>
          <w:p>
            <w:pPr>
              <w:widowControl/>
              <w:jc w:val="center"/>
              <w:rPr>
                <w:rFonts w:ascii="Times New Roman" w:hAnsi="Times New Roman" w:cs="Times New Roman" w:eastAsiaTheme="minorHAnsi"/>
                <w:b/>
                <w:color w:val="00000A"/>
                <w:sz w:val="28"/>
                <w:szCs w:val="28"/>
                <w:lang w:val="ru-RU" w:eastAsia="en-US" w:bidi="ar-SA"/>
              </w:rPr>
            </w:pPr>
            <w:r>
              <w:rPr>
                <w:rFonts w:ascii="Times New Roman" w:hAnsi="Times New Roman" w:cs="Times New Roman" w:eastAsiaTheme="minorHAnsi"/>
                <w:b/>
                <w:color w:val="00000A"/>
                <w:sz w:val="28"/>
                <w:szCs w:val="28"/>
                <w:lang w:val="ru-RU" w:eastAsia="en-US" w:bidi="ar-SA"/>
              </w:rPr>
              <w:t>для договорів оренди, які продовжуються вперше, а також для підприємств, установ, організацій, що надають соціально важливі послуги</w:t>
            </w:r>
          </w:p>
          <w:p>
            <w:pPr>
              <w:widowControl/>
              <w:shd w:val="clear" w:color="auto" w:fill="FFFFFF"/>
              <w:rPr>
                <w:rFonts w:ascii="Times New Roman" w:hAnsi="Times New Roman" w:eastAsia="Times New Roman" w:cs="Times New Roman"/>
                <w:color w:val="333333"/>
                <w:lang w:val="ru-RU" w:eastAsia="en-US" w:bidi="ar-SA"/>
              </w:rPr>
            </w:pPr>
            <w:bookmarkStart w:id="16" w:name="n78"/>
            <w:bookmarkEnd w:id="16"/>
            <w:bookmarkStart w:id="17" w:name="n79"/>
            <w:bookmarkEnd w:id="17"/>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6"/>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jc w:val="center"/>
                    <w:rPr>
                      <w:rFonts w:ascii="Times New Roman" w:hAnsi="Times New Roman" w:eastAsia="Times New Roman" w:cs="Times New Roman"/>
                      <w:color w:val="auto"/>
                      <w:lang w:eastAsia="en-US" w:bidi="ar-SA"/>
                    </w:rPr>
                  </w:pPr>
                  <w:bookmarkStart w:id="18" w:name="n80"/>
                  <w:bookmarkEnd w:id="18"/>
                  <w:r>
                    <w:rPr>
                      <w:rFonts w:ascii="Times New Roman" w:hAnsi="Times New Roman" w:eastAsia="Times New Roman" w:cs="Times New Roman"/>
                      <w:color w:val="auto"/>
                      <w:lang w:eastAsia="en-US" w:bidi="ar-SA"/>
                    </w:rPr>
                    <w:t>Найменування</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Орендна ставка, відсотків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 Використання єдиних майнових комплексів державних та комунальних підприємств, їх відокремлених структурних підрозділів для:</w:t>
                  </w:r>
                </w:p>
              </w:tc>
              <w:tc>
                <w:tcPr>
                  <w:tcW w:w="1162" w:type="pct"/>
                </w:tcPr>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 тютюнової промисловості, лікеро-горілчаної та виноробної промисловості, радгоспів заводів, що виробляють виноробну продукцію</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 виробництва електричного та електронного устаткування, деревини та виробів з деревини, меблів,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 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надання додаткових транспортних послуг та допоміжних операцій, паливної промисловості, побутового обслуговування</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 сільського господарства, харчової промисловості (крім лікеро-горілчаної та виноробної промисловості), радгоспів заводів (крім тих, що виробляють виноробну продукцію), металообробки, освіти, науки та охорони здоров’я, легкої (крім швейної та текстильної) промисловості, виробництва будівельних матеріалів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5) використання інших об’єктів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 Використання нерухомого майна за цільовим призначенням:</w:t>
                  </w:r>
                </w:p>
              </w:tc>
              <w:tc>
                <w:tcPr>
                  <w:tcW w:w="1162" w:type="pct"/>
                </w:tcPr>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 розміщення казино, інших гральних закладів, гральних автоматів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 розміщення пунктів продажу лотерейних білетів, пунктів обміну валюти</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банкоматів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ресторанів з нічним режимом роботи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відділень банків, фінансових установ, ломбардів, бірж, брокерських, дилерських, маклерських, рієлторських контор (агентств нерухомості)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торговельних об’єктів з продажу ювелірних виробів, виробів з дорогоцінних металів та дорогоцінного каміння, антикваріату, зброї</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виробників реклами</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саун, турецьких лазень, соляріїв, кабінетів масажу</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торговельних об’єктів з продажу автомобілів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зовнішньої реклами на будівлях і спорудах</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5) організація концертів та іншої видовищно-розважальної діяльності</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6) розміщення суб’єктів господарювання, що провадять туроператорську та турагентську діяльність, готелів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7)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майстерень, що здійснюють технічне обслуговування та ремонт автомобілів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майстерень з ремонту ювелірних виробів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аптек у приміщеннях лікувально-профілактичних закладів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приватних закладів охорони здоров’я</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діють на основі приватної власності і провадять господарську діяльність з медичної практики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торговельних об’єктів з продажу окулярів, лінз, скелець</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редакцій засобів масової інформації:</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 рекламного та еротичного характеру</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тих, де понад 50 відсотків загального обсягу випуску становлять матеріали іноземних засобів масової інформації</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8)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турбаз, мотелів, кемпінгів, літніх будиночків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торговельних об’єктів з продажу непродовольчих товарів, алкогольних та тютюнових виробів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офісних приміщень (крім відділень банків, фінансових установ, ломбардів, бірж, брокерських, дилерських, маклерських, рієлторських контор (агентств нерухомості)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надають послуги, пов’язані з переказом грошей</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провадять діяльність у сфері права, бухгалтерського обліку та оподаткування</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9)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ресторанів, кафе, барів, закусочних, буфетів, кафетеріїв, що здійснюють продаж товарів підакцизної групи</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ветеринарних лікарень (клінік), лабораторій ветеринарної медицини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суб’єктів господарювання, що провадять діяльність з організації шлюбних знайомств та весіль</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складів, крамниць-складів, магазинів-складів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приватних архівних установ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камер схову</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стоянок для автомобілів, паркінгів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суб’єктів господарювання, що провадять діяльність з вирощування квітів, грибів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провадять виробничу діяльність</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комп’ютерних клубів та інтернет-кафе</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аптек, ветеринарних аптек</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рибних господарств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шкіл, курсів з навчання водіїв автомобілів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здійснюють проектні, проектно-вишукувальні, проектно-конструкторські роботи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інформаційних агентств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виставок непродовольчих товарів без здійснення торгівлі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кафе, барів, закусочних, кафетеріїв, їдалень, буфетів, які не здійснюють продаж товарів підакцизної групи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суб’єктів підприємницької діяльності, що надають освітні послуги погодинно (курси, тренінги, семінари тощо)</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торговельних об’єктів з продажу продовольчих товарів, крім товарів підакцизної групи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11)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редакцій засобів масової інформації</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приватних закладів освіти (суб’єктів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в абзаці четвертому підпункту 18 та абзаці третьому підпункту 20 цього пункту), на площі, що використовується для надання ліцензійних послуг</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12) організація та проведення науково-практичних, культурних, мистецьких, громадських, суспільних та політичних заходів на строк, що не перевищує</w:t>
                  </w:r>
                  <w:r>
                    <w:rPr>
                      <w:rFonts w:ascii="Times New Roman" w:hAnsi="Times New Roman" w:eastAsia="Times New Roman" w:cs="Times New Roman"/>
                      <w:color w:val="auto"/>
                      <w:lang w:eastAsia="en-US" w:bidi="ar-SA"/>
                    </w:rPr>
                    <w:t> </w:t>
                  </w:r>
                  <w:r>
                    <w:rPr>
                      <w:rFonts w:ascii="Times New Roman" w:hAnsi="Times New Roman" w:eastAsia="Times New Roman" w:cs="Times New Roman"/>
                      <w:color w:val="auto"/>
                      <w:lang w:val="ru-RU" w:eastAsia="en-US" w:bidi="ar-SA"/>
                    </w:rPr>
                    <w:t xml:space="preserve">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провадить діяльність з організації конгресів і торговельних виставок</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13)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закладів фізичної культури і спорту, крім тих, які наведені в абзацах восьмому та дев’ятому підпункту 18 цього пункту</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суб’єктів підприємницької діяльності, що надають освітні послуги без отримання ліцензії</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здійснюють побутове обслуговування населення</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громадських вбиралень</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виставок образотворчої та книжкової продукції, виробленої в Україні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14) організація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об’єктів поштового зв’язку на площі, що використовується для надання послуг поштового зв’язку;</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p>
                  <w:pPr>
                    <w:widowControl/>
                    <w:jc w:val="center"/>
                    <w:rPr>
                      <w:rFonts w:ascii="Times New Roman" w:hAnsi="Times New Roman" w:eastAsia="Times New Roman" w:cs="Times New Roman"/>
                      <w:color w:val="auto"/>
                      <w:lang w:val="ru-RU" w:eastAsia="en-US" w:bidi="ar-SA"/>
                    </w:rPr>
                  </w:pPr>
                </w:p>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розміщення АТ «Укрпошта»</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суб’єктів господарювання, що надають послуги з перевезення та доставки (вручення) поштових відправлень</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 xml:space="preserve">кінотеатрів, театрів                                                                                                                                </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16) розміщення:</w:t>
                  </w:r>
                </w:p>
              </w:tc>
              <w:tc>
                <w:tcPr>
                  <w:tcW w:w="1162" w:type="pct"/>
                </w:tcPr>
                <w:p>
                  <w:pPr>
                    <w:widowControl/>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p>
              </w:tc>
              <w:tc>
                <w:tcPr>
                  <w:tcW w:w="1162" w:type="pct"/>
                </w:tcPr>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торговельних об’єктів з продажу книг, газет і журналів</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видавництв друкованих засобів масової інформації та видавничої продукції</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17) оренда майна:</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державними та комунальними підприємствами, установами, організаціями у сфері культури і мистецтв чи громадськими організаціями у сфері культури і мистецтв (у тому числі національними творчими спілками або їх членами під творчі майстерні)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державними видавництвами і підприємствами книгорозповсюдження</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вітчизняними видавництвами та підприємствами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18)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приватних закладів загальної середньої освіти (суб’єктів підприємницької діяльності), які мають ліцензію на провадження освітньої діяльності у відповідній сфері, на площі, що використовується для надання ліцензійних послуг</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громадських об’єднань фізкультурно-спортивної спрямованості, що є неприбутковими організаціями, внесеними до Реєстру неприбуткових установ та організацій, утворених ними спортивних клубів (крім спортивних клубів, що займаються професійним спортом),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центрів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державних та комунальних спортивних клубів, дитячо-юнацьких спортивних шкіл, шкіл вищої спортивної майстерності, центрів олімпійської підготовки, центрів студентського спорту закладів вищої освіти, фізкультурно-оздоровчих закладів, центрів фізичного здоров’я населення, центрів фізичної культури і спорту осіб з інвалідністю, а також баз олімпійської, паралімпійської та дефлімпійської підготовки (крім орендарів, зазначених у</w:t>
                  </w:r>
                  <w:r>
                    <w:fldChar w:fldCharType="begin"/>
                  </w:r>
                  <w:r>
                    <w:instrText xml:space="preserve"> HYPERLINK "https://zakon.rada.gov.ua/laws/show/630-2021-%D0%BF" \l "n49" </w:instrText>
                  </w:r>
                  <w:r>
                    <w:fldChar w:fldCharType="separate"/>
                  </w:r>
                  <w:r>
                    <w:rPr>
                      <w:rFonts w:ascii="Times New Roman" w:hAnsi="Times New Roman" w:eastAsia="Times New Roman" w:cs="Times New Roman"/>
                      <w:color w:val="006600"/>
                      <w:u w:val="single"/>
                      <w:lang w:eastAsia="en-US" w:bidi="ar-SA"/>
                    </w:rPr>
                    <w:t> пункті 13</w:t>
                  </w:r>
                  <w:r>
                    <w:rPr>
                      <w:rFonts w:ascii="Times New Roman" w:hAnsi="Times New Roman" w:eastAsia="Times New Roman" w:cs="Times New Roman"/>
                      <w:color w:val="006600"/>
                      <w:u w:val="single"/>
                      <w:lang w:eastAsia="en-US" w:bidi="ar-SA"/>
                    </w:rPr>
                    <w:fldChar w:fldCharType="end"/>
                  </w:r>
                  <w:r>
                    <w:rPr>
                      <w:rFonts w:ascii="Times New Roman" w:hAnsi="Times New Roman" w:eastAsia="Times New Roman" w:cs="Times New Roman"/>
                      <w:color w:val="auto"/>
                      <w:lang w:eastAsia="en-US" w:bidi="ar-SA"/>
                    </w:rPr>
                    <w:t> цієї Методики)</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en-US" w:eastAsia="en-US" w:bidi="ar-SA"/>
                    </w:rPr>
                  </w:pPr>
                </w:p>
              </w:tc>
              <w:tc>
                <w:tcPr>
                  <w:tcW w:w="1162" w:type="pct"/>
                </w:tcPr>
                <w:p>
                  <w:pPr>
                    <w:widowControl/>
                    <w:jc w:val="center"/>
                    <w:rPr>
                      <w:rFonts w:ascii="Times New Roman" w:hAnsi="Times New Roman" w:eastAsia="Times New Roman" w:cs="Times New Roman"/>
                      <w:color w:val="auto"/>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val="ru-RU" w:eastAsia="en-US" w:bidi="ar-SA"/>
                    </w:rPr>
                    <w:t xml:space="preserve">дипломатичних представництв, консульських установ іноземних держав, представництв міжнародних організацій в Україні (крім договорів, орендна плата за якими врегульована міжнародними договорами України, згода на обов’язковість яких надана Верховною </w:t>
                  </w:r>
                  <w:r>
                    <w:rPr>
                      <w:rFonts w:ascii="Times New Roman" w:hAnsi="Times New Roman" w:eastAsia="Times New Roman" w:cs="Times New Roman"/>
                      <w:color w:val="auto"/>
                      <w:lang w:eastAsia="en-US" w:bidi="ar-SA"/>
                    </w:rPr>
                    <w:t>Радою України)</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19) розміщення:</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організацій, що надають послуги з нагляду за особами з психічними, інтелектуальними чи сенсорними порушеннями</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20) розміщення:</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надавачів соціальних послуг</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закладів освіти, заснованих на будь-якій формі власності, суб’єктів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закладів соціального обслуговування для сімей, дітей та молоді, що утримуються за рахунок місцевого бюджету, зокрема:</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центрів соціально-психологічної реабілітації дітей</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соціальних гуртожитків для дітей-сиріт та дітей, позбавлених батьківського піклування</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соціальних центрів матері та дитини</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центрів соціально-психологічної допомоги</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центрів реабілітації дітей та молоді з функціональними обмеженнями</w:t>
                  </w:r>
                </w:p>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 центрів для ВІЛ-інфікованих дітей та молоді</w:t>
                  </w:r>
                </w:p>
              </w:tc>
              <w:tc>
                <w:tcPr>
                  <w:tcW w:w="1162" w:type="pct"/>
                </w:tcPr>
                <w:p>
                  <w:pPr>
                    <w:widowControl/>
                    <w:jc w:val="center"/>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21) оренда особами з інвалідністю з метою використання під гаражі для спеціальних засобів пересування</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22) оренда юридичними та фізичними особами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23) розміщення транспортних підприємств з:</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перевезення пасажирів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перевезення вантажів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highlight w:val="yellow"/>
                      <w:lang w:eastAsia="en-US" w:bidi="ar-SA"/>
                    </w:rPr>
                  </w:pPr>
                  <w:r>
                    <w:rPr>
                      <w:rFonts w:ascii="Times New Roman" w:hAnsi="Times New Roman" w:eastAsia="Times New Roman" w:cs="Times New Roman"/>
                      <w:color w:val="auto"/>
                      <w:lang w:eastAsia="en-US" w:bidi="ar-SA"/>
                    </w:rPr>
                    <w:t>24) розміщення творчих спілок, творчих майстерень, громадських об’єднань, благодійних організацій на площі, що не використовується для провадження підприємницької діяльності:</w:t>
                  </w:r>
                </w:p>
              </w:tc>
              <w:tc>
                <w:tcPr>
                  <w:tcW w:w="1162" w:type="pct"/>
                </w:tcPr>
                <w:p>
                  <w:pPr>
                    <w:widowControl/>
                    <w:jc w:val="center"/>
                    <w:rPr>
                      <w:rFonts w:ascii="Times New Roman" w:hAnsi="Times New Roman" w:eastAsia="Times New Roman" w:cs="Times New Roman"/>
                      <w:color w:val="auto"/>
                      <w:highlight w:val="yellow"/>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25) розміщення громадської приймальні народного депутата України,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розміщення депутата місцевої ради,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val="ru-RU" w:eastAsia="en-US" w:bidi="ar-SA"/>
                    </w:rPr>
                    <w:t>на площі не більш як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val="ru-RU" w:eastAsia="en-US" w:bidi="ar-SA"/>
                    </w:rPr>
                    <w:t>на частині площі, що перевищує 50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26) розміщення громадських об’єднань осіб з інвалідністю на площі, що не використовується для провадження підприємницької діяльності:</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eastAsia="en-US" w:bidi="ar-SA"/>
                    </w:rPr>
                    <w:t>27</w:t>
                  </w:r>
                  <w:r>
                    <w:rPr>
                      <w:rFonts w:ascii="Times New Roman" w:hAnsi="Times New Roman" w:eastAsia="Times New Roman" w:cs="Times New Roman"/>
                      <w:color w:val="auto"/>
                      <w:lang w:val="ru-RU" w:eastAsia="en-US" w:bidi="ar-SA"/>
                    </w:rPr>
                    <w:t>) оренда громадськими організаціями ветеранів для розміщення реабілітаційних установ для ветеранів:</w:t>
                  </w:r>
                </w:p>
              </w:tc>
              <w:tc>
                <w:tcPr>
                  <w:tcW w:w="1162" w:type="pct"/>
                </w:tcPr>
                <w:p>
                  <w:pPr>
                    <w:widowControl/>
                    <w:jc w:val="center"/>
                    <w:rPr>
                      <w:rFonts w:ascii="Times New Roman" w:hAnsi="Times New Roman" w:eastAsia="Times New Roman" w:cs="Times New Roman"/>
                      <w:color w:val="auto"/>
                      <w:lang w:val="ru-RU"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28) оренда реабілітаційними установами для осіб з інвалідністю та дітей з інвалідністю для розміщення таких реабілітаційних установ:</w:t>
                  </w:r>
                </w:p>
              </w:tc>
              <w:tc>
                <w:tcPr>
                  <w:tcW w:w="1162" w:type="pct"/>
                </w:tcPr>
                <w:p>
                  <w:pPr>
                    <w:widowControl/>
                    <w:jc w:val="center"/>
                    <w:rPr>
                      <w:rFonts w:ascii="Times New Roman" w:hAnsi="Times New Roman" w:eastAsia="Times New Roman" w:cs="Times New Roman"/>
                      <w:color w:val="auto"/>
                      <w:lang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площі не більш як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val="ru-RU" w:eastAsia="en-US" w:bidi="ar-SA"/>
                    </w:rPr>
                  </w:pPr>
                  <w:r>
                    <w:rPr>
                      <w:rFonts w:ascii="Times New Roman" w:hAnsi="Times New Roman" w:eastAsia="Times New Roman" w:cs="Times New Roman"/>
                      <w:color w:val="auto"/>
                      <w:lang w:val="ru-RU" w:eastAsia="en-US" w:bidi="ar-SA"/>
                    </w:rPr>
                    <w:t>на частині площі, що перевищує 100 кв. метрів</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8" w:type="pct"/>
                </w:tcPr>
                <w:p>
                  <w:pPr>
                    <w:widowControl/>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29) інше використання нерухомого майна</w:t>
                  </w:r>
                </w:p>
              </w:tc>
              <w:tc>
                <w:tcPr>
                  <w:tcW w:w="1162" w:type="pct"/>
                </w:tcPr>
                <w:p>
                  <w:pPr>
                    <w:widowControl/>
                    <w:jc w:val="center"/>
                    <w:rPr>
                      <w:rFonts w:ascii="Times New Roman" w:hAnsi="Times New Roman" w:eastAsia="Times New Roman" w:cs="Times New Roman"/>
                      <w:color w:val="auto"/>
                      <w:lang w:eastAsia="en-US" w:bidi="ar-SA"/>
                    </w:rPr>
                  </w:pPr>
                  <w:r>
                    <w:rPr>
                      <w:rFonts w:ascii="Times New Roman" w:hAnsi="Times New Roman" w:eastAsia="Times New Roman" w:cs="Times New Roman"/>
                      <w:color w:val="auto"/>
                      <w:lang w:eastAsia="en-US" w:bidi="ar-SA"/>
                    </w:rPr>
                    <w:t>15</w:t>
                  </w:r>
                </w:p>
              </w:tc>
            </w:tr>
          </w:tbl>
          <w:p>
            <w:pPr>
              <w:widowControl/>
              <w:shd w:val="clear" w:color="auto" w:fill="FFFFFF"/>
              <w:rPr>
                <w:rFonts w:ascii="Times New Roman" w:hAnsi="Times New Roman" w:eastAsia="Times New Roman" w:cs="Times New Roman"/>
                <w:color w:val="333333"/>
                <w:lang w:val="ru-RU" w:eastAsia="en-US" w:bidi="ar-SA"/>
              </w:rPr>
            </w:pPr>
            <w:bookmarkStart w:id="19" w:name="n81"/>
            <w:bookmarkEnd w:id="19"/>
          </w:p>
          <w:p>
            <w:pPr>
              <w:widowControl/>
              <w:jc w:val="both"/>
              <w:rPr>
                <w:rFonts w:ascii="Times New Roman" w:hAnsi="Times New Roman" w:cs="Times New Roman" w:eastAsiaTheme="minorHAnsi"/>
                <w:b/>
                <w:color w:val="00000A"/>
                <w:lang w:val="ru-RU" w:eastAsia="en-US" w:bidi="ar-SA"/>
              </w:rPr>
            </w:pPr>
          </w:p>
          <w:p>
            <w:pPr>
              <w:widowControl/>
              <w:jc w:val="both"/>
              <w:rPr>
                <w:rFonts w:ascii="Times New Roman" w:hAnsi="Times New Roman" w:cs="Times New Roman" w:eastAsiaTheme="minorHAnsi"/>
                <w:b/>
                <w:color w:val="00000A"/>
                <w:lang w:val="ru-RU" w:eastAsia="en-US" w:bidi="ar-SA"/>
              </w:rPr>
            </w:pPr>
          </w:p>
          <w:p>
            <w:pPr>
              <w:spacing w:before="250" w:line="278" w:lineRule="exact"/>
              <w:ind w:right="19"/>
              <w:jc w:val="both"/>
              <w:rPr>
                <w:rFonts w:ascii="Times New Roman" w:hAnsi="Times New Roman" w:eastAsia="Times New Roman" w:cs="Times New Roman"/>
                <w:sz w:val="28"/>
                <w:szCs w:val="28"/>
                <w:lang w:val="ru-RU" w:eastAsia="en-US" w:bidi="ar-SA"/>
              </w:rPr>
            </w:pPr>
            <w:r>
              <w:rPr>
                <w:rFonts w:ascii="Times New Roman" w:hAnsi="Times New Roman"/>
                <w:b/>
                <w:sz w:val="28"/>
                <w:szCs w:val="28"/>
              </w:rPr>
              <w:t>В. о. начальника управління майна громади             Маріанна СВІДОВСЬКА</w:t>
            </w:r>
          </w:p>
        </w:tc>
      </w:tr>
      <w:tr>
        <w:tblPrEx>
          <w:tblCellMar>
            <w:top w:w="0" w:type="dxa"/>
            <w:left w:w="0" w:type="dxa"/>
            <w:bottom w:w="0" w:type="dxa"/>
            <w:right w:w="0" w:type="dxa"/>
          </w:tblCellMar>
        </w:tblPrEx>
        <w:trPr>
          <w:trHeight w:val="14038" w:hRule="atLeast"/>
        </w:trPr>
        <w:tc>
          <w:tcPr>
            <w:tcW w:w="10349" w:type="dxa"/>
            <w:shd w:val="clear" w:color="auto" w:fill="FFFFFF"/>
          </w:tcPr>
          <w:p>
            <w:pPr>
              <w:widowControl/>
              <w:jc w:val="both"/>
              <w:rPr>
                <w:rFonts w:ascii="Times New Roman" w:hAnsi="Times New Roman" w:cs="Times New Roman" w:eastAsiaTheme="minorHAnsi"/>
                <w:b/>
                <w:color w:val="00000A"/>
                <w:sz w:val="28"/>
                <w:szCs w:val="28"/>
                <w:lang w:val="ru-RU" w:eastAsia="en-US" w:bidi="ar-SA"/>
              </w:rPr>
            </w:pPr>
          </w:p>
        </w:tc>
      </w:tr>
      <w:tr>
        <w:tblPrEx>
          <w:tblCellMar>
            <w:top w:w="0" w:type="dxa"/>
            <w:left w:w="0" w:type="dxa"/>
            <w:bottom w:w="0" w:type="dxa"/>
            <w:right w:w="0" w:type="dxa"/>
          </w:tblCellMar>
        </w:tblPrEx>
        <w:trPr>
          <w:trHeight w:val="14038" w:hRule="atLeast"/>
        </w:trPr>
        <w:tc>
          <w:tcPr>
            <w:tcW w:w="10349" w:type="dxa"/>
            <w:shd w:val="clear" w:color="auto" w:fill="FFFFFF"/>
          </w:tcPr>
          <w:p>
            <w:pPr>
              <w:widowControl/>
              <w:jc w:val="both"/>
              <w:rPr>
                <w:rFonts w:ascii="Times New Roman" w:hAnsi="Times New Roman" w:cs="Times New Roman" w:eastAsiaTheme="minorHAnsi"/>
                <w:b/>
                <w:color w:val="00000A"/>
                <w:sz w:val="28"/>
                <w:szCs w:val="28"/>
                <w:lang w:val="ru-RU" w:eastAsia="en-US" w:bidi="ar-SA"/>
              </w:rPr>
            </w:pPr>
          </w:p>
        </w:tc>
      </w:tr>
      <w:tr>
        <w:tblPrEx>
          <w:tblCellMar>
            <w:top w:w="0" w:type="dxa"/>
            <w:left w:w="0" w:type="dxa"/>
            <w:bottom w:w="0" w:type="dxa"/>
            <w:right w:w="0" w:type="dxa"/>
          </w:tblCellMar>
        </w:tblPrEx>
        <w:trPr>
          <w:trHeight w:val="14038" w:hRule="atLeast"/>
        </w:trPr>
        <w:tc>
          <w:tcPr>
            <w:tcW w:w="10349" w:type="dxa"/>
            <w:shd w:val="clear" w:color="auto" w:fill="FFFFFF"/>
          </w:tcPr>
          <w:p>
            <w:pPr>
              <w:widowControl/>
              <w:jc w:val="both"/>
              <w:rPr>
                <w:rFonts w:ascii="Times New Roman" w:hAnsi="Times New Roman" w:cs="Times New Roman" w:eastAsiaTheme="minorHAnsi"/>
                <w:b/>
                <w:color w:val="00000A"/>
                <w:sz w:val="28"/>
                <w:szCs w:val="28"/>
                <w:lang w:val="ru-RU" w:eastAsia="en-US" w:bidi="ar-SA"/>
              </w:rPr>
            </w:pPr>
          </w:p>
        </w:tc>
      </w:tr>
    </w:tbl>
    <w:p/>
    <w:sectPr>
      <w:pgSz w:w="12240" w:h="15840"/>
      <w:pgMar w:top="709"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egoe UI">
    <w:panose1 w:val="020B0502040204020203"/>
    <w:charset w:val="CC"/>
    <w:family w:val="swiss"/>
    <w:pitch w:val="default"/>
    <w:sig w:usb0="E4002EFF" w:usb1="C000E47F" w:usb2="00000009" w:usb3="00000000" w:csb0="200001FF" w:csb1="00000000"/>
  </w:font>
  <w:font w:name="Cambria Math">
    <w:panose1 w:val="02040503050406030204"/>
    <w:charset w:val="CC"/>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557CA2"/>
    <w:multiLevelType w:val="multilevel"/>
    <w:tmpl w:val="16557CA2"/>
    <w:lvl w:ilvl="0" w:tentative="0">
      <w:start w:val="1"/>
      <w:numFmt w:val="decimal"/>
      <w:lvlText w:val="%1."/>
      <w:lvlJc w:val="left"/>
      <w:pPr>
        <w:ind w:left="1080" w:hanging="360"/>
      </w:pPr>
    </w:lvl>
    <w:lvl w:ilvl="1" w:tentative="0">
      <w:start w:val="1"/>
      <w:numFmt w:val="decimal"/>
      <w:lvlText w:val="%1.%2."/>
      <w:lvlJc w:val="left"/>
      <w:pPr>
        <w:tabs>
          <w:tab w:val="left" w:pos="1575"/>
        </w:tabs>
        <w:ind w:left="1575" w:hanging="720"/>
      </w:pPr>
    </w:lvl>
    <w:lvl w:ilvl="2" w:tentative="0">
      <w:start w:val="1"/>
      <w:numFmt w:val="decimal"/>
      <w:lvlText w:val="%1.%2.%3."/>
      <w:lvlJc w:val="left"/>
      <w:pPr>
        <w:tabs>
          <w:tab w:val="left" w:pos="2430"/>
        </w:tabs>
        <w:ind w:left="2430" w:hanging="720"/>
      </w:pPr>
    </w:lvl>
    <w:lvl w:ilvl="3" w:tentative="0">
      <w:start w:val="1"/>
      <w:numFmt w:val="decimal"/>
      <w:lvlText w:val="%1.%2.%3.%4."/>
      <w:lvlJc w:val="left"/>
      <w:pPr>
        <w:tabs>
          <w:tab w:val="left" w:pos="3645"/>
        </w:tabs>
        <w:ind w:left="3645" w:hanging="1080"/>
      </w:pPr>
    </w:lvl>
    <w:lvl w:ilvl="4" w:tentative="0">
      <w:start w:val="1"/>
      <w:numFmt w:val="decimal"/>
      <w:lvlText w:val="%1.%2.%3.%4.%5."/>
      <w:lvlJc w:val="left"/>
      <w:pPr>
        <w:tabs>
          <w:tab w:val="left" w:pos="4500"/>
        </w:tabs>
        <w:ind w:left="4500" w:hanging="1080"/>
      </w:pPr>
    </w:lvl>
    <w:lvl w:ilvl="5" w:tentative="0">
      <w:start w:val="1"/>
      <w:numFmt w:val="decimal"/>
      <w:lvlText w:val="%1.%2.%3.%4.%5.%6."/>
      <w:lvlJc w:val="left"/>
      <w:pPr>
        <w:tabs>
          <w:tab w:val="left" w:pos="5715"/>
        </w:tabs>
        <w:ind w:left="5715" w:hanging="1440"/>
      </w:pPr>
    </w:lvl>
    <w:lvl w:ilvl="6" w:tentative="0">
      <w:start w:val="1"/>
      <w:numFmt w:val="decimal"/>
      <w:lvlText w:val="%1.%2.%3.%4.%5.%6.%7."/>
      <w:lvlJc w:val="left"/>
      <w:pPr>
        <w:tabs>
          <w:tab w:val="left" w:pos="6930"/>
        </w:tabs>
        <w:ind w:left="6930" w:hanging="1800"/>
      </w:pPr>
    </w:lvl>
    <w:lvl w:ilvl="7" w:tentative="0">
      <w:start w:val="1"/>
      <w:numFmt w:val="decimal"/>
      <w:lvlText w:val="%1.%2.%3.%4.%5.%6.%7.%8."/>
      <w:lvlJc w:val="left"/>
      <w:pPr>
        <w:tabs>
          <w:tab w:val="left" w:pos="7785"/>
        </w:tabs>
        <w:ind w:left="7785" w:hanging="1800"/>
      </w:pPr>
    </w:lvl>
    <w:lvl w:ilvl="8" w:tentative="0">
      <w:start w:val="1"/>
      <w:numFmt w:val="decimal"/>
      <w:lvlText w:val="%1.%2.%3.%4.%5.%6.%7.%8.%9."/>
      <w:lvlJc w:val="left"/>
      <w:pPr>
        <w:tabs>
          <w:tab w:val="left" w:pos="9000"/>
        </w:tabs>
        <w:ind w:left="9000" w:hanging="2160"/>
      </w:pPr>
    </w:lvl>
  </w:abstractNum>
  <w:abstractNum w:abstractNumId="1">
    <w:nsid w:val="46AC77B5"/>
    <w:multiLevelType w:val="multilevel"/>
    <w:tmpl w:val="46AC77B5"/>
    <w:lvl w:ilvl="0" w:tentative="0">
      <w:start w:val="1"/>
      <w:numFmt w:val="decimal"/>
      <w:lvlText w:val="%1."/>
      <w:lvlJc w:val="left"/>
      <w:pPr>
        <w:ind w:left="1428" w:hanging="360"/>
      </w:pPr>
      <w:rPr>
        <w:rFonts w:hint="default"/>
        <w:b w:val="0"/>
        <w:bCs w:val="0"/>
        <w:color w:val="002060"/>
      </w:rPr>
    </w:lvl>
    <w:lvl w:ilvl="1" w:tentative="0">
      <w:start w:val="1"/>
      <w:numFmt w:val="lowerLetter"/>
      <w:lvlText w:val="%2."/>
      <w:lvlJc w:val="left"/>
      <w:pPr>
        <w:ind w:left="2148" w:hanging="360"/>
      </w:p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2">
    <w:nsid w:val="500F1849"/>
    <w:multiLevelType w:val="multilevel"/>
    <w:tmpl w:val="500F1849"/>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9F2"/>
    <w:rsid w:val="0004094D"/>
    <w:rsid w:val="00042FF6"/>
    <w:rsid w:val="000D6D11"/>
    <w:rsid w:val="00150FD5"/>
    <w:rsid w:val="00156B74"/>
    <w:rsid w:val="00177329"/>
    <w:rsid w:val="00194B12"/>
    <w:rsid w:val="001A009B"/>
    <w:rsid w:val="001A1E1A"/>
    <w:rsid w:val="001B1C67"/>
    <w:rsid w:val="001B4A22"/>
    <w:rsid w:val="001D6FDE"/>
    <w:rsid w:val="001E5872"/>
    <w:rsid w:val="00203814"/>
    <w:rsid w:val="00212B26"/>
    <w:rsid w:val="00242CEB"/>
    <w:rsid w:val="00286177"/>
    <w:rsid w:val="0029120F"/>
    <w:rsid w:val="003175D1"/>
    <w:rsid w:val="0036405F"/>
    <w:rsid w:val="003756B7"/>
    <w:rsid w:val="00395FCC"/>
    <w:rsid w:val="003A6353"/>
    <w:rsid w:val="00426FD8"/>
    <w:rsid w:val="00484E63"/>
    <w:rsid w:val="0049203D"/>
    <w:rsid w:val="004C1C07"/>
    <w:rsid w:val="004C3184"/>
    <w:rsid w:val="005324E9"/>
    <w:rsid w:val="00534898"/>
    <w:rsid w:val="00542E7B"/>
    <w:rsid w:val="0055100E"/>
    <w:rsid w:val="005A3AE6"/>
    <w:rsid w:val="005F42AD"/>
    <w:rsid w:val="00627947"/>
    <w:rsid w:val="00627A6A"/>
    <w:rsid w:val="00632BF7"/>
    <w:rsid w:val="00635A72"/>
    <w:rsid w:val="00637206"/>
    <w:rsid w:val="006D304E"/>
    <w:rsid w:val="006D7F80"/>
    <w:rsid w:val="006E0E55"/>
    <w:rsid w:val="006E39F7"/>
    <w:rsid w:val="00733241"/>
    <w:rsid w:val="007527FE"/>
    <w:rsid w:val="007A692A"/>
    <w:rsid w:val="008412D1"/>
    <w:rsid w:val="0085562E"/>
    <w:rsid w:val="008571CC"/>
    <w:rsid w:val="00894547"/>
    <w:rsid w:val="008A1759"/>
    <w:rsid w:val="008E445B"/>
    <w:rsid w:val="00961940"/>
    <w:rsid w:val="00971AB8"/>
    <w:rsid w:val="00995BFF"/>
    <w:rsid w:val="009C38AC"/>
    <w:rsid w:val="00A169EE"/>
    <w:rsid w:val="00A61410"/>
    <w:rsid w:val="00A81B44"/>
    <w:rsid w:val="00AB4611"/>
    <w:rsid w:val="00AD5A07"/>
    <w:rsid w:val="00AF1A93"/>
    <w:rsid w:val="00AF1C18"/>
    <w:rsid w:val="00B008DB"/>
    <w:rsid w:val="00B71F60"/>
    <w:rsid w:val="00B800C2"/>
    <w:rsid w:val="00B86493"/>
    <w:rsid w:val="00BC21A8"/>
    <w:rsid w:val="00C078BE"/>
    <w:rsid w:val="00C10FB3"/>
    <w:rsid w:val="00C12BBC"/>
    <w:rsid w:val="00C839C1"/>
    <w:rsid w:val="00CC2D20"/>
    <w:rsid w:val="00D01205"/>
    <w:rsid w:val="00DB6A42"/>
    <w:rsid w:val="00DC3FA1"/>
    <w:rsid w:val="00DE0561"/>
    <w:rsid w:val="00E020A0"/>
    <w:rsid w:val="00E43A9A"/>
    <w:rsid w:val="00E9056D"/>
    <w:rsid w:val="00E972E7"/>
    <w:rsid w:val="00EC7596"/>
    <w:rsid w:val="00EE5CFD"/>
    <w:rsid w:val="00EF56CA"/>
    <w:rsid w:val="00F14ECF"/>
    <w:rsid w:val="00F269F2"/>
    <w:rsid w:val="00F3198A"/>
    <w:rsid w:val="00F44979"/>
    <w:rsid w:val="00F5663C"/>
    <w:rsid w:val="00F70BBB"/>
    <w:rsid w:val="00FD4D73"/>
    <w:rsid w:val="00FF05F0"/>
    <w:rsid w:val="2F8D468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widowControl w:val="0"/>
      <w:spacing w:after="0" w:line="240" w:lineRule="auto"/>
    </w:pPr>
    <w:rPr>
      <w:rFonts w:ascii="Courier New" w:hAnsi="Courier New" w:eastAsia="Courier New" w:cs="Courier New"/>
      <w:color w:val="000000"/>
      <w:sz w:val="24"/>
      <w:szCs w:val="24"/>
      <w:lang w:val="uk-UA" w:eastAsia="uk-UA" w:bidi="uk-U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8"/>
    <w:semiHidden/>
    <w:unhideWhenUsed/>
    <w:qFormat/>
    <w:uiPriority w:val="99"/>
    <w:rPr>
      <w:rFonts w:ascii="Segoe UI" w:hAnsi="Segoe UI" w:cs="Segoe UI"/>
      <w:sz w:val="18"/>
      <w:szCs w:val="18"/>
    </w:rPr>
  </w:style>
  <w:style w:type="table" w:styleId="5">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left="720"/>
      <w:contextualSpacing/>
    </w:pPr>
  </w:style>
  <w:style w:type="table" w:customStyle="1" w:styleId="7">
    <w:name w:val="Сітка таблиці1"/>
    <w:basedOn w:val="3"/>
    <w:qFormat/>
    <w:uiPriority w:val="39"/>
    <w:pPr>
      <w:spacing w:after="0" w:line="240" w:lineRule="auto"/>
    </w:pPr>
    <w:rPr>
      <w:sz w:val="20"/>
      <w:lang w:val="uk-U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Текст выноски Знак"/>
    <w:basedOn w:val="2"/>
    <w:link w:val="4"/>
    <w:semiHidden/>
    <w:uiPriority w:val="99"/>
    <w:rPr>
      <w:rFonts w:ascii="Segoe UI" w:hAnsi="Segoe UI" w:eastAsia="Courier New" w:cs="Segoe UI"/>
      <w:color w:val="000000"/>
      <w:sz w:val="18"/>
      <w:szCs w:val="18"/>
      <w:lang w:val="uk-UA" w:eastAsia="uk-UA" w:bidi="uk-UA"/>
    </w:rPr>
  </w:style>
</w:styles>
</file>

<file path=word/_rels/document.xml.rels><?xml version="1.0" encoding="UTF-8" standalone="yes"?>
<Relationships xmlns="http://schemas.openxmlformats.org/package/2006/relationships"><Relationship Id="rId9" Type="http://schemas.openxmlformats.org/officeDocument/2006/relationships/image" Target="media/image2.GIF"/><Relationship Id="rId8" Type="http://schemas.openxmlformats.org/officeDocument/2006/relationships/hyperlink" Target="https://zakon.rada.gov.ua/laws/file/imgs/90/p506691n230-5.emf" TargetMode="External"/><Relationship Id="rId7" Type="http://schemas.openxmlformats.org/officeDocument/2006/relationships/image" Target="media/image1.GIF"/><Relationship Id="rId6" Type="http://schemas.openxmlformats.org/officeDocument/2006/relationships/hyperlink" Target="https://zakon.rada.gov.ua/laws/file/imgs/90/p506691n25-4.bmp"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6.GIF"/><Relationship Id="rId16" Type="http://schemas.openxmlformats.org/officeDocument/2006/relationships/hyperlink" Target="https://zakon.rada.gov.ua/laws/file/imgs/90/p506691n234-9.emf" TargetMode="External"/><Relationship Id="rId15" Type="http://schemas.openxmlformats.org/officeDocument/2006/relationships/image" Target="media/image5.GIF"/><Relationship Id="rId14" Type="http://schemas.openxmlformats.org/officeDocument/2006/relationships/hyperlink" Target="https://zakon.rada.gov.ua/laws/file/imgs/90/p506691n33-8.bmp" TargetMode="External"/><Relationship Id="rId13" Type="http://schemas.openxmlformats.org/officeDocument/2006/relationships/image" Target="media/image4.GIF"/><Relationship Id="rId12" Type="http://schemas.openxmlformats.org/officeDocument/2006/relationships/hyperlink" Target="https://zakon.rada.gov.ua/laws/file/imgs/90/p506691n232-7.emf" TargetMode="External"/><Relationship Id="rId11" Type="http://schemas.openxmlformats.org/officeDocument/2006/relationships/image" Target="media/image3.GIF"/><Relationship Id="rId10" Type="http://schemas.openxmlformats.org/officeDocument/2006/relationships/hyperlink" Target="https://zakon.rada.gov.ua/laws/file/imgs/90/p506691n29-6.bmp" TargetMode="Externa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F58543-AC1B-46BA-9507-B5B3915AFB11}">
  <ds:schemaRefs/>
</ds:datastoreItem>
</file>

<file path=docProps/app.xml><?xml version="1.0" encoding="utf-8"?>
<Properties xmlns="http://schemas.openxmlformats.org/officeDocument/2006/extended-properties" xmlns:vt="http://schemas.openxmlformats.org/officeDocument/2006/docPropsVTypes">
  <Template>Normal</Template>
  <Pages>1</Pages>
  <Words>4642</Words>
  <Characters>26460</Characters>
  <Lines>220</Lines>
  <Paragraphs>62</Paragraphs>
  <TotalTime>196</TotalTime>
  <ScaleCrop>false</ScaleCrop>
  <LinksUpToDate>false</LinksUpToDate>
  <CharactersWithSpaces>31040</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2021-11-17T06:48:00Z</dcterms:created>
  <dc:creator>User</dc:creator>
  <cp:lastModifiedBy>User</cp:lastModifiedBy>
  <cp:lastPrinted>2021-11-23T09:16:00Z</cp:lastPrinted>
  <dcterms:modified xsi:type="dcterms:W3CDTF">2021-12-01T07:00:17Z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1049-11.2.0.10382</vt:lpwstr>
  </property>
  <property fmtid="{D5CDD505-2E9C-101B-9397-08002B2CF9AE}" pid="3" name="ICV">
    <vt:lpwstr>BE1FFA8E2CEA4835A4F7BDB12189B758</vt:lpwstr>
  </property>
</Properties>
</file>