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left="5103"/>
        <w:rPr>
          <w:lang w:val="uk-UA" w:eastAsia="ar-SA"/>
        </w:rPr>
      </w:pPr>
      <w:r>
        <w:rPr>
          <w:lang w:val="uk-UA" w:eastAsia="ar-SA"/>
        </w:rPr>
        <w:t>Додаток № 1</w:t>
      </w:r>
    </w:p>
    <w:p>
      <w:pPr>
        <w:suppressAutoHyphens/>
        <w:ind w:left="5103"/>
        <w:rPr>
          <w:lang w:val="uk-UA" w:eastAsia="ar-SA"/>
        </w:rPr>
      </w:pPr>
      <w:r>
        <w:rPr>
          <w:lang w:val="uk-UA" w:eastAsia="ar-SA"/>
        </w:rPr>
        <w:t>до рішення виконавчого комітету</w:t>
      </w:r>
      <w:r>
        <w:rPr>
          <w:lang w:val="uk-UA" w:eastAsia="ar-SA"/>
        </w:rPr>
        <w:br w:type="textWrapping"/>
      </w:r>
      <w:r>
        <w:rPr>
          <w:lang w:val="uk-UA" w:eastAsia="ar-SA"/>
        </w:rPr>
        <w:t>Дрогобицької  міської ради</w:t>
      </w:r>
    </w:p>
    <w:p>
      <w:pPr>
        <w:suppressAutoHyphens/>
        <w:ind w:left="5103"/>
        <w:rPr>
          <w:lang w:val="uk-UA" w:eastAsia="ar-SA"/>
        </w:rPr>
      </w:pPr>
      <w:r>
        <w:rPr>
          <w:lang w:val="uk-UA" w:eastAsia="ar-SA"/>
        </w:rPr>
        <w:t xml:space="preserve">від __________2022 р. № ____ </w:t>
      </w:r>
    </w:p>
    <w:p>
      <w:pPr>
        <w:ind w:firstLine="709"/>
        <w:jc w:val="both"/>
        <w:rPr>
          <w:lang w:val="uk-UA"/>
        </w:rPr>
      </w:pPr>
    </w:p>
    <w:p>
      <w:pPr>
        <w:ind w:firstLine="709"/>
        <w:jc w:val="both"/>
        <w:rPr>
          <w:sz w:val="28"/>
          <w:szCs w:val="28"/>
          <w:lang w:val="uk-UA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Норми надання послуг з вивезення твердих побутових відходів </w:t>
      </w:r>
    </w:p>
    <w:p>
      <w:pPr>
        <w:ind w:firstLine="709"/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sz w:val="28"/>
          <w:szCs w:val="28"/>
        </w:rPr>
        <w:t xml:space="preserve">для населених пунктів Дрогобицької міської територіальної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громади</w:t>
      </w:r>
    </w:p>
    <w:p>
      <w:pPr>
        <w:ind w:firstLine="709"/>
        <w:jc w:val="both"/>
        <w:rPr>
          <w:b/>
        </w:rPr>
      </w:pPr>
    </w:p>
    <w:tbl>
      <w:tblPr>
        <w:tblStyle w:val="7"/>
        <w:tblW w:w="490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735"/>
        <w:gridCol w:w="2119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tblHeader/>
        </w:trPr>
        <w:tc>
          <w:tcPr>
            <w:tcW w:w="265" w:type="pct"/>
            <w:vMerge w:val="restart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498" w:type="pct"/>
            <w:vMerge w:val="restart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Об'єкт утворення ТПВ</w:t>
            </w:r>
          </w:p>
        </w:tc>
        <w:tc>
          <w:tcPr>
            <w:tcW w:w="1119" w:type="pct"/>
            <w:vMerge w:val="restart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Розрахункова одиниця</w:t>
            </w:r>
          </w:p>
        </w:tc>
        <w:tc>
          <w:tcPr>
            <w:tcW w:w="1119" w:type="pct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</w:p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  <w:vertAlign w:val="superscript"/>
              </w:rPr>
            </w:pPr>
            <w:r>
              <w:rPr>
                <w:sz w:val="24"/>
                <w:szCs w:val="20"/>
              </w:rPr>
              <w:t>Норма на одну розрахункову одиницю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</w:trPr>
        <w:tc>
          <w:tcPr>
            <w:tcW w:w="265" w:type="pct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98" w:type="pct"/>
            <w:vMerge w:val="continue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11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19" w:type="pct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середня на рік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tblHeader/>
        </w:trPr>
        <w:tc>
          <w:tcPr>
            <w:tcW w:w="265" w:type="pct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98" w:type="pct"/>
            <w:vMerge w:val="continue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119" w:type="pct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19" w:type="pct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</w:t>
            </w:r>
            <w:r>
              <w:rPr>
                <w:sz w:val="24"/>
                <w:szCs w:val="20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sz w:val="24"/>
                <w:szCs w:val="20"/>
              </w:rPr>
              <w:t>Багатоквартирні будинки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мешканець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0"/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Будинки приватного сектору для міст Дрогобич, Стебник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мешканець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Будинки приватного сектору (для населених пунктів Дрогобицької міської ТГ, крім міст Дрогобич, Стебник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мешканець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sz w:val="24"/>
                <w:szCs w:val="20"/>
              </w:rPr>
              <w:t>Готелі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pStyle w:val="9"/>
              <w:tabs>
                <w:tab w:val="left" w:pos="1125"/>
              </w:tabs>
              <w:ind w:left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sz w:val="24"/>
                <w:szCs w:val="20"/>
              </w:rPr>
              <w:t>Гуртожитки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pStyle w:val="9"/>
              <w:tabs>
                <w:tab w:val="left" w:pos="1125"/>
              </w:tabs>
              <w:ind w:left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6.1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Заклади фахової передвищої, вищої, післядипломної освіти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студент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6.2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Заклади загальної середньої, професійної (професійно-технічної), позашкільної освіти</w:t>
            </w:r>
          </w:p>
        </w:tc>
        <w:tc>
          <w:tcPr>
            <w:tcW w:w="1119" w:type="pct"/>
            <w:shd w:val="clear" w:color="auto" w:fill="auto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учень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6.3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Заклади дошкільної освіти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Адміністративні та громадські установи і організації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робоче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Промтоварні заклади торгівлі (промтоварні магазини, ларьки, кіоски)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торг.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Продуктові заклади торгівлі (продовольчі магазини, ларьки, кіоски)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торг.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Ринки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торг.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Заклади громадського харчування (ресторани, кафе, їдальні)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Підприємства побутового обслуговування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робоче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1,43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Лікарні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ліжко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Поліклініки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відвідування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Вокзали, автовокзали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пасажирської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Заклади культури і мистецтва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Аптеки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торг.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18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Автостоянки, кемпінги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Кладовища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Склади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Гуртівні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22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АЗС, СТО, автомийки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23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Санаторії, пансіонати, будинки відпочинку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Культові споруди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площі споруди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Гаражний кооператив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гаражне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26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Медичний кабінет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робоче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27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Промтоварні магазини однієї товарної групи: меблеві, сантехнічні, ювелірні, тощо з торгівельною площею більше 100 м</w:t>
            </w:r>
            <w:r>
              <w:rPr>
                <w:rFonts w:eastAsia="Calibri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</w:t>
            </w:r>
            <w:r>
              <w:rPr>
                <w:sz w:val="24"/>
                <w:szCs w:val="20"/>
                <w:vertAlign w:val="superscript"/>
              </w:rPr>
              <w:t>2</w:t>
            </w:r>
            <w:r>
              <w:rPr>
                <w:sz w:val="24"/>
                <w:szCs w:val="20"/>
              </w:rPr>
              <w:t xml:space="preserve"> торг. площі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28</w:t>
            </w:r>
          </w:p>
        </w:tc>
        <w:tc>
          <w:tcPr>
            <w:tcW w:w="2498" w:type="pct"/>
          </w:tcPr>
          <w:p>
            <w:pPr>
              <w:rPr>
                <w:rFonts w:eastAsia="Calibri"/>
                <w:sz w:val="24"/>
                <w:szCs w:val="20"/>
              </w:rPr>
            </w:pPr>
            <w:r>
              <w:rPr>
                <w:rFonts w:eastAsia="Calibri"/>
                <w:sz w:val="24"/>
                <w:szCs w:val="20"/>
              </w:rPr>
              <w:t>Видовищні установи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tabs>
                <w:tab w:val="left" w:pos="1125"/>
              </w:tabs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 місце</w:t>
            </w:r>
          </w:p>
        </w:tc>
        <w:tc>
          <w:tcPr>
            <w:tcW w:w="1119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0,26</w:t>
            </w:r>
          </w:p>
        </w:tc>
      </w:tr>
    </w:tbl>
    <w:p>
      <w:pPr>
        <w:widowControl w:val="0"/>
        <w:tabs>
          <w:tab w:val="left" w:pos="7088"/>
          <w:tab w:val="left" w:pos="7655"/>
        </w:tabs>
        <w:ind w:firstLine="567"/>
        <w:jc w:val="both"/>
        <w:rPr>
          <w:b/>
          <w:bCs/>
          <w:sz w:val="28"/>
          <w:szCs w:val="28"/>
        </w:rPr>
      </w:pPr>
    </w:p>
    <w:p>
      <w:pPr>
        <w:widowControl w:val="0"/>
        <w:tabs>
          <w:tab w:val="left" w:pos="7088"/>
          <w:tab w:val="left" w:pos="7655"/>
        </w:tabs>
        <w:ind w:firstLine="567"/>
        <w:jc w:val="both"/>
        <w:rPr>
          <w:rFonts w:eastAsia="Arial Unicode MS" w:cs="Arial Unicode MS"/>
          <w:bCs/>
          <w:color w:val="000000"/>
          <w:lang w:val="uk-UA" w:eastAsia="uk-UA"/>
        </w:rPr>
      </w:pPr>
      <w:r>
        <w:rPr>
          <w:bCs/>
          <w:lang w:val="uk-UA"/>
        </w:rPr>
        <w:t>Примітка:</w:t>
      </w:r>
    </w:p>
    <w:p>
      <w:pPr>
        <w:pStyle w:val="9"/>
        <w:widowControl w:val="0"/>
        <w:numPr>
          <w:ilvl w:val="0"/>
          <w:numId w:val="1"/>
        </w:numPr>
        <w:tabs>
          <w:tab w:val="left" w:pos="7088"/>
          <w:tab w:val="left" w:pos="7655"/>
        </w:tabs>
        <w:ind w:left="0" w:firstLine="567"/>
        <w:jc w:val="both"/>
        <w:rPr>
          <w:rFonts w:eastAsia="Arial Unicode MS" w:cs="Arial Unicode MS"/>
          <w:bCs/>
          <w:color w:val="000000"/>
          <w:lang w:val="uk-UA" w:eastAsia="uk-UA"/>
        </w:rPr>
      </w:pPr>
      <w:r>
        <w:rPr>
          <w:rFonts w:eastAsia="Arial Unicode MS" w:cs="Arial Unicode MS"/>
          <w:bCs/>
          <w:color w:val="000000"/>
          <w:lang w:val="uk-UA" w:eastAsia="uk-UA"/>
        </w:rPr>
        <w:t>Наведені в таблиці норми (за об'ємом) ТПВ відповідають їх насипному (неущільненому) стану в сміттєзбірних контейнерах.</w:t>
      </w:r>
    </w:p>
    <w:p>
      <w:pPr>
        <w:pStyle w:val="9"/>
        <w:widowControl w:val="0"/>
        <w:numPr>
          <w:ilvl w:val="0"/>
          <w:numId w:val="1"/>
        </w:numPr>
        <w:tabs>
          <w:tab w:val="left" w:pos="7088"/>
          <w:tab w:val="left" w:pos="7655"/>
        </w:tabs>
        <w:ind w:left="0" w:firstLine="567"/>
        <w:jc w:val="both"/>
        <w:rPr>
          <w:rFonts w:eastAsia="Arial Unicode MS" w:cs="Arial Unicode MS"/>
          <w:bCs/>
          <w:color w:val="000000"/>
          <w:lang w:val="uk-UA" w:eastAsia="uk-UA"/>
        </w:rPr>
      </w:pPr>
      <w:r>
        <w:rPr>
          <w:rFonts w:eastAsia="Arial Unicode MS" w:cs="Arial Unicode MS"/>
          <w:bCs/>
          <w:color w:val="000000"/>
          <w:lang w:val="uk-UA" w:eastAsia="uk-UA"/>
        </w:rPr>
        <w:t>Середня щільність твердих побутових відходів, які утворюються у житлових будинках, а також на підприємствах, установах і організаціях, складає – 164,4 кг/ м</w:t>
      </w:r>
      <w:r>
        <w:rPr>
          <w:rFonts w:eastAsia="Arial Unicode MS" w:cs="Arial Unicode MS"/>
          <w:bCs/>
          <w:color w:val="000000"/>
          <w:vertAlign w:val="superscript"/>
          <w:lang w:val="uk-UA" w:eastAsia="uk-UA"/>
        </w:rPr>
        <w:t>3</w:t>
      </w:r>
      <w:r>
        <w:rPr>
          <w:rFonts w:eastAsia="Arial Unicode MS" w:cs="Arial Unicode MS"/>
          <w:bCs/>
          <w:color w:val="000000"/>
          <w:lang w:val="uk-UA" w:eastAsia="uk-UA"/>
        </w:rPr>
        <w:t>.</w:t>
      </w:r>
    </w:p>
    <w:p>
      <w:pPr>
        <w:pStyle w:val="9"/>
        <w:widowControl w:val="0"/>
        <w:numPr>
          <w:ilvl w:val="0"/>
          <w:numId w:val="1"/>
        </w:numPr>
        <w:tabs>
          <w:tab w:val="left" w:pos="7088"/>
          <w:tab w:val="left" w:pos="7655"/>
        </w:tabs>
        <w:ind w:left="0" w:firstLine="567"/>
        <w:jc w:val="both"/>
        <w:rPr>
          <w:rFonts w:eastAsia="Arial Unicode MS" w:cs="Arial Unicode MS"/>
          <w:bCs/>
          <w:color w:val="000000"/>
          <w:lang w:val="uk-UA" w:eastAsia="uk-UA"/>
        </w:rPr>
      </w:pPr>
      <w:r>
        <w:rPr>
          <w:rFonts w:eastAsia="Arial Unicode MS" w:cs="Arial Unicode MS"/>
          <w:bCs/>
          <w:color w:val="000000"/>
          <w:lang w:val="uk-UA" w:eastAsia="uk-UA"/>
        </w:rPr>
        <w:t>Середня щільність великогабаритних відходів, які утворюються у житлових будинках, а також на підприємствах, установах і організаціях, складає – 164,4 кг/ м</w:t>
      </w:r>
      <w:r>
        <w:rPr>
          <w:rFonts w:eastAsia="Arial Unicode MS" w:cs="Arial Unicode MS"/>
          <w:bCs/>
          <w:color w:val="000000"/>
          <w:vertAlign w:val="superscript"/>
          <w:lang w:val="uk-UA" w:eastAsia="uk-UA"/>
        </w:rPr>
        <w:t>3</w:t>
      </w:r>
      <w:r>
        <w:rPr>
          <w:rFonts w:eastAsia="Arial Unicode MS" w:cs="Arial Unicode MS"/>
          <w:bCs/>
          <w:color w:val="000000"/>
          <w:lang w:val="uk-UA" w:eastAsia="uk-UA"/>
        </w:rPr>
        <w:t>.</w:t>
      </w:r>
    </w:p>
    <w:p>
      <w:pPr>
        <w:pStyle w:val="9"/>
        <w:widowControl w:val="0"/>
        <w:numPr>
          <w:ilvl w:val="0"/>
          <w:numId w:val="1"/>
        </w:numPr>
        <w:tabs>
          <w:tab w:val="left" w:pos="7088"/>
          <w:tab w:val="left" w:pos="7655"/>
        </w:tabs>
        <w:ind w:left="0" w:firstLine="567"/>
        <w:jc w:val="both"/>
        <w:rPr>
          <w:rFonts w:eastAsia="Arial Unicode MS" w:cs="Arial Unicode MS"/>
          <w:bCs/>
          <w:color w:val="000000"/>
          <w:lang w:val="uk-UA" w:eastAsia="uk-UA"/>
        </w:rPr>
      </w:pPr>
      <w:r>
        <w:rPr>
          <w:rFonts w:eastAsia="Arial Unicode MS" w:cs="Arial Unicode MS"/>
          <w:bCs/>
          <w:color w:val="000000"/>
          <w:lang w:val="uk-UA" w:eastAsia="uk-UA"/>
        </w:rPr>
        <w:t>Норма надання послуг з вивезення великогабаритних відходів (ВГВ) в житловому секторі м. Дрогобич та м. Стебник складає – 0,09 м</w:t>
      </w:r>
      <w:r>
        <w:rPr>
          <w:rFonts w:eastAsia="Arial Unicode MS" w:cs="Arial Unicode MS"/>
          <w:bCs/>
          <w:color w:val="000000"/>
          <w:vertAlign w:val="superscript"/>
          <w:lang w:val="uk-UA" w:eastAsia="uk-UA"/>
        </w:rPr>
        <w:t>3</w:t>
      </w:r>
      <w:r>
        <w:rPr>
          <w:rFonts w:eastAsia="Arial Unicode MS" w:cs="Arial Unicode MS"/>
          <w:bCs/>
          <w:color w:val="000000"/>
          <w:lang w:val="uk-UA" w:eastAsia="uk-UA"/>
        </w:rPr>
        <w:t xml:space="preserve"> на рік на одного мешканця.</w:t>
      </w:r>
    </w:p>
    <w:p>
      <w:pPr>
        <w:pStyle w:val="9"/>
        <w:numPr>
          <w:ilvl w:val="0"/>
          <w:numId w:val="1"/>
        </w:numPr>
        <w:ind w:left="0" w:firstLine="567"/>
        <w:jc w:val="both"/>
        <w:rPr>
          <w:rFonts w:eastAsia="Arial Unicode MS" w:cs="Arial Unicode MS"/>
          <w:bCs/>
          <w:color w:val="000000"/>
          <w:lang w:val="uk-UA" w:eastAsia="uk-UA"/>
        </w:rPr>
      </w:pPr>
      <w:r>
        <w:rPr>
          <w:rFonts w:eastAsia="Arial Unicode MS" w:cs="Arial Unicode MS"/>
          <w:bCs/>
          <w:color w:val="000000"/>
          <w:lang w:val="uk-UA" w:eastAsia="uk-UA"/>
        </w:rPr>
        <w:t>,Опале листя не входить у норми утворення побутових відходів по всіх об'єктах невиробничої сфери і при укладанні договорів до основного утворення додаються відходи з площі зеленого насадження, виходячи з норми 8 л з м</w:t>
      </w:r>
      <w:r>
        <w:rPr>
          <w:rFonts w:eastAsia="Arial Unicode MS" w:cs="Arial Unicode MS"/>
          <w:bCs/>
          <w:color w:val="000000"/>
          <w:vertAlign w:val="superscript"/>
          <w:lang w:val="uk-UA" w:eastAsia="uk-UA"/>
        </w:rPr>
        <w:t>2</w:t>
      </w:r>
      <w:r>
        <w:rPr>
          <w:rFonts w:eastAsia="Arial Unicode MS" w:cs="Arial Unicode MS"/>
          <w:bCs/>
          <w:color w:val="000000"/>
          <w:lang w:val="uk-UA" w:eastAsia="uk-UA"/>
        </w:rPr>
        <w:t xml:space="preserve"> зелених насаджень (1000 л = 1 м</w:t>
      </w:r>
      <w:r>
        <w:rPr>
          <w:rFonts w:eastAsia="Arial Unicode MS" w:cs="Arial Unicode MS"/>
          <w:bCs/>
          <w:color w:val="000000"/>
          <w:vertAlign w:val="superscript"/>
          <w:lang w:val="uk-UA" w:eastAsia="uk-UA"/>
        </w:rPr>
        <w:t>3</w:t>
      </w:r>
      <w:r>
        <w:rPr>
          <w:rFonts w:eastAsia="Arial Unicode MS" w:cs="Arial Unicode MS"/>
          <w:bCs/>
          <w:color w:val="000000"/>
          <w:lang w:val="uk-UA" w:eastAsia="uk-UA"/>
        </w:rPr>
        <w:t>).</w:t>
      </w:r>
    </w:p>
    <w:p>
      <w:pPr>
        <w:pStyle w:val="9"/>
        <w:widowControl w:val="0"/>
        <w:numPr>
          <w:ilvl w:val="0"/>
          <w:numId w:val="1"/>
        </w:numPr>
        <w:ind w:left="0" w:firstLine="567"/>
        <w:jc w:val="both"/>
        <w:rPr>
          <w:rFonts w:eastAsia="Arial Unicode MS" w:cs="Arial Unicode MS"/>
          <w:bCs/>
          <w:color w:val="000000"/>
          <w:lang w:val="uk-UA" w:eastAsia="uk-UA"/>
        </w:rPr>
      </w:pPr>
      <w:r>
        <w:rPr>
          <w:rFonts w:eastAsia="Arial Unicode MS" w:cs="Arial Unicode MS"/>
          <w:bCs/>
          <w:color w:val="000000"/>
          <w:lang w:val="uk-UA" w:eastAsia="uk-UA"/>
        </w:rPr>
        <w:t xml:space="preserve">Як виняток, при можливості підтвердження замовником фактичних, а не нормованих обсягів ТПВ, для обліку застосовувати фактичні. </w:t>
      </w:r>
    </w:p>
    <w:p>
      <w:pPr>
        <w:widowControl w:val="0"/>
        <w:tabs>
          <w:tab w:val="left" w:pos="7088"/>
          <w:tab w:val="left" w:pos="7655"/>
        </w:tabs>
        <w:jc w:val="both"/>
        <w:rPr>
          <w:rFonts w:eastAsia="Arial Unicode MS" w:cs="Arial Unicode MS"/>
          <w:b/>
          <w:bCs/>
          <w:color w:val="000000"/>
          <w:lang w:val="uk-UA" w:eastAsia="uk-UA"/>
        </w:rPr>
      </w:pPr>
    </w:p>
    <w:p>
      <w:pPr>
        <w:widowControl w:val="0"/>
        <w:tabs>
          <w:tab w:val="left" w:pos="7088"/>
          <w:tab w:val="left" w:pos="7655"/>
        </w:tabs>
        <w:jc w:val="both"/>
        <w:rPr>
          <w:rFonts w:eastAsia="Arial Unicode MS" w:cs="Arial Unicode MS"/>
          <w:b/>
          <w:bCs/>
          <w:color w:val="000000"/>
          <w:lang w:val="uk-UA" w:eastAsia="uk-UA"/>
        </w:rPr>
      </w:pPr>
    </w:p>
    <w:p>
      <w:pPr>
        <w:widowControl w:val="0"/>
        <w:tabs>
          <w:tab w:val="left" w:pos="7088"/>
          <w:tab w:val="left" w:pos="7655"/>
        </w:tabs>
        <w:jc w:val="both"/>
        <w:rPr>
          <w:rFonts w:eastAsia="Arial Unicode MS" w:cs="Arial Unicode MS"/>
          <w:b/>
          <w:bCs/>
          <w:color w:val="000000"/>
          <w:lang w:val="uk-UA" w:eastAsia="uk-UA"/>
        </w:rPr>
      </w:pPr>
    </w:p>
    <w:p>
      <w:pPr>
        <w:widowControl w:val="0"/>
        <w:tabs>
          <w:tab w:val="left" w:pos="7088"/>
          <w:tab w:val="left" w:pos="7655"/>
        </w:tabs>
        <w:jc w:val="both"/>
        <w:rPr>
          <w:rFonts w:eastAsia="Arial Unicode MS" w:cs="Arial Unicode MS"/>
          <w:b/>
          <w:bCs/>
          <w:color w:val="000000"/>
          <w:lang w:val="uk-UA" w:eastAsia="uk-UA"/>
        </w:rPr>
      </w:pPr>
    </w:p>
    <w:p>
      <w:pPr>
        <w:widowControl w:val="0"/>
        <w:tabs>
          <w:tab w:val="left" w:pos="7088"/>
          <w:tab w:val="left" w:pos="7655"/>
        </w:tabs>
        <w:jc w:val="both"/>
        <w:rPr>
          <w:rFonts w:eastAsia="Arial Unicode MS" w:cs="Arial Unicode MS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lang w:val="uk-UA" w:eastAsia="uk-UA"/>
        </w:rPr>
        <w:t xml:space="preserve">Заступник міського голови з питань </w:t>
      </w:r>
    </w:p>
    <w:p>
      <w:pPr>
        <w:widowControl w:val="0"/>
        <w:tabs>
          <w:tab w:val="left" w:pos="7088"/>
          <w:tab w:val="left" w:pos="7655"/>
        </w:tabs>
        <w:jc w:val="both"/>
        <w:rPr>
          <w:rFonts w:eastAsia="Arial Unicode MS" w:cs="Arial Unicode MS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lang w:val="uk-UA" w:eastAsia="uk-UA"/>
        </w:rPr>
        <w:t>діяльності виконавчих органів,</w:t>
      </w:r>
    </w:p>
    <w:p>
      <w:pPr>
        <w:widowControl w:val="0"/>
        <w:tabs>
          <w:tab w:val="left" w:pos="7088"/>
          <w:tab w:val="left" w:pos="7655"/>
        </w:tabs>
        <w:jc w:val="both"/>
        <w:rPr>
          <w:rFonts w:eastAsia="Arial Unicode MS" w:cs="Arial Unicode MS"/>
          <w:b/>
          <w:bCs/>
          <w:color w:val="000000"/>
          <w:lang w:val="uk-UA" w:eastAsia="uk-UA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lang w:val="uk-UA" w:eastAsia="uk-UA"/>
        </w:rPr>
        <w:t>керуючий справами виконкому                                    Володимир КОЦЮБА</w:t>
      </w:r>
      <w:r>
        <w:rPr>
          <w:rFonts w:eastAsia="Arial Unicode MS" w:cs="Arial Unicode MS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eastAsia="Arial Unicode MS" w:cs="Arial Unicode MS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eastAsia="Arial Unicode MS" w:cs="Arial Unicode MS"/>
          <w:b/>
          <w:bCs/>
          <w:color w:val="000000"/>
          <w:lang w:val="uk-UA" w:eastAsia="uk-UA"/>
        </w:rPr>
        <w:t xml:space="preserve">                </w:t>
      </w:r>
    </w:p>
    <w:p>
      <w:pPr>
        <w:spacing w:after="200" w:line="276" w:lineRule="auto"/>
        <w:rPr>
          <w:b/>
          <w:bCs/>
          <w:sz w:val="28"/>
          <w:szCs w:val="28"/>
          <w:lang w:val="uk-UA"/>
        </w:rPr>
      </w:pPr>
    </w:p>
    <w:p>
      <w:pPr>
        <w:spacing w:after="200" w:line="276" w:lineRule="auto"/>
        <w:rPr>
          <w:b/>
          <w:bCs/>
          <w:sz w:val="28"/>
          <w:szCs w:val="28"/>
          <w:lang w:val="uk-UA"/>
        </w:rPr>
      </w:pPr>
    </w:p>
    <w:p>
      <w:pPr>
        <w:spacing w:after="200" w:line="276" w:lineRule="auto"/>
        <w:rPr>
          <w:b/>
          <w:bCs/>
          <w:sz w:val="28"/>
          <w:szCs w:val="28"/>
          <w:lang w:val="uk-UA"/>
        </w:rPr>
      </w:pPr>
    </w:p>
    <w:p>
      <w:pPr>
        <w:spacing w:after="200" w:line="276" w:lineRule="auto"/>
        <w:rPr>
          <w:b/>
          <w:bCs/>
          <w:sz w:val="28"/>
          <w:szCs w:val="28"/>
          <w:lang w:val="uk-UA"/>
        </w:rPr>
      </w:pPr>
    </w:p>
    <w:p>
      <w:pPr>
        <w:spacing w:after="200" w:line="276" w:lineRule="auto"/>
        <w:rPr>
          <w:b/>
          <w:bCs/>
          <w:sz w:val="28"/>
          <w:szCs w:val="28"/>
          <w:lang w:val="uk-UA"/>
        </w:rPr>
      </w:pPr>
    </w:p>
    <w:p>
      <w:pPr>
        <w:spacing w:after="200" w:line="276" w:lineRule="auto"/>
        <w:rPr>
          <w:b/>
          <w:bCs/>
          <w:sz w:val="28"/>
          <w:szCs w:val="28"/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bookmarkStart w:id="0" w:name="_GoBack"/>
      <w:bookmarkEnd w:id="0"/>
    </w:p>
    <w:sectPr>
      <w:pgSz w:w="11906" w:h="16838"/>
      <w:pgMar w:top="567" w:right="748" w:bottom="902" w:left="1701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F2B30"/>
    <w:multiLevelType w:val="multilevel"/>
    <w:tmpl w:val="543F2B30"/>
    <w:lvl w:ilvl="0" w:tentative="0">
      <w:start w:val="1"/>
      <w:numFmt w:val="bullet"/>
      <w:suff w:val="space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7"/>
    <w:rsid w:val="000A7A92"/>
    <w:rsid w:val="000C3E70"/>
    <w:rsid w:val="000D522B"/>
    <w:rsid w:val="00192926"/>
    <w:rsid w:val="002C2F41"/>
    <w:rsid w:val="002E06AB"/>
    <w:rsid w:val="00312B1A"/>
    <w:rsid w:val="003C2857"/>
    <w:rsid w:val="00413E3C"/>
    <w:rsid w:val="00452DB1"/>
    <w:rsid w:val="004B6FB3"/>
    <w:rsid w:val="006E5718"/>
    <w:rsid w:val="00734BAF"/>
    <w:rsid w:val="00750C51"/>
    <w:rsid w:val="00784057"/>
    <w:rsid w:val="007E107E"/>
    <w:rsid w:val="008C5686"/>
    <w:rsid w:val="008E270C"/>
    <w:rsid w:val="00A33F93"/>
    <w:rsid w:val="00A61ECD"/>
    <w:rsid w:val="00AE05D9"/>
    <w:rsid w:val="00BA6C23"/>
    <w:rsid w:val="00C30D09"/>
    <w:rsid w:val="00C3296B"/>
    <w:rsid w:val="00C35AF1"/>
    <w:rsid w:val="00C520CD"/>
    <w:rsid w:val="00C53E26"/>
    <w:rsid w:val="00C7377A"/>
    <w:rsid w:val="00CD0B3A"/>
    <w:rsid w:val="00D63046"/>
    <w:rsid w:val="00E931D3"/>
    <w:rsid w:val="00EA5301"/>
    <w:rsid w:val="00EC7C9C"/>
    <w:rsid w:val="00F21DAE"/>
    <w:rsid w:val="46854D1C"/>
    <w:rsid w:val="791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TML Preformatted"/>
    <w:basedOn w:val="1"/>
    <w:link w:val="8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color w:val="auto"/>
      <w:sz w:val="20"/>
      <w:szCs w:val="20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Стандартный HTML Знак"/>
    <w:basedOn w:val="2"/>
    <w:link w:val="6"/>
    <w:qFormat/>
    <w:uiPriority w:val="99"/>
    <w:rPr>
      <w:rFonts w:ascii="Courier New" w:hAnsi="Courier New" w:cs="Courier New"/>
      <w:color w:val="auto"/>
      <w:sz w:val="20"/>
      <w:szCs w:val="20"/>
      <w:lang w:eastAsia="uk-U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Segoe UI" w:hAnsi="Segoe UI" w:cs="Segoe UI"/>
      <w:color w:val="auto"/>
      <w:sz w:val="18"/>
      <w:szCs w:val="1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9</Pages>
  <Words>11340</Words>
  <Characters>6464</Characters>
  <Lines>53</Lines>
  <Paragraphs>35</Paragraphs>
  <TotalTime>0</TotalTime>
  <ScaleCrop>false</ScaleCrop>
  <LinksUpToDate>false</LinksUpToDate>
  <CharactersWithSpaces>17769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2022-04-12T08:29:00Z</dcterms:created>
  <dc:creator>Дмитро</dc:creator>
  <cp:lastModifiedBy>Відділ ІТ та ана�</cp:lastModifiedBy>
  <cp:lastPrinted>2022-05-19T10:42:00Z</cp:lastPrinted>
  <dcterms:modified xsi:type="dcterms:W3CDTF">2022-05-20T07:42:55Z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6D012FDA552346CABC26F49A970DEB91</vt:lpwstr>
  </property>
</Properties>
</file>