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  <w:bookmarkStart w:id="0" w:name="_GoBack"/>
      <w:bookmarkEnd w:id="0"/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  <w:r>
        <w:rPr>
          <w:rStyle w:val="9"/>
          <w:b/>
          <w:color w:val="000000"/>
          <w:sz w:val="24"/>
          <w:szCs w:val="24"/>
        </w:rPr>
        <w:t xml:space="preserve">Додаток № 1 </w:t>
      </w: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  <w:r>
        <w:rPr>
          <w:rStyle w:val="9"/>
          <w:b/>
          <w:color w:val="000000"/>
          <w:sz w:val="24"/>
          <w:szCs w:val="24"/>
        </w:rPr>
        <w:t xml:space="preserve">         до рішення _____ сесії</w:t>
      </w: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  <w:r>
        <w:rPr>
          <w:rStyle w:val="9"/>
          <w:b/>
          <w:color w:val="000000"/>
          <w:sz w:val="24"/>
          <w:szCs w:val="24"/>
        </w:rPr>
        <w:t xml:space="preserve">Дрогобицької міської ради </w:t>
      </w:r>
    </w:p>
    <w:p>
      <w:pPr>
        <w:rPr>
          <w:b/>
          <w:sz w:val="28"/>
          <w:szCs w:val="28"/>
          <w:lang w:val="uk-UA"/>
        </w:rPr>
      </w:pPr>
      <w:r>
        <w:rPr>
          <w:rStyle w:val="9"/>
          <w:b/>
          <w:lang w:val="uk-UA"/>
        </w:rPr>
        <w:t xml:space="preserve">                                                                                                           від  ______ 2022</w:t>
      </w:r>
      <w:r>
        <w:rPr>
          <w:rStyle w:val="11"/>
          <w:b/>
          <w:i w:val="0"/>
          <w:u w:val="none"/>
          <w:lang w:val="uk-UA"/>
        </w:rPr>
        <w:t xml:space="preserve">  року  №  ____</w:t>
      </w:r>
    </w:p>
    <w:p>
      <w:pPr>
        <w:jc w:val="center"/>
        <w:rPr>
          <w:b/>
          <w:sz w:val="28"/>
          <w:szCs w:val="28"/>
          <w:lang w:val="uk-UA"/>
        </w:rPr>
      </w:pP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Дрогобицької міської ради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«Підготовка та проведення заходів відділу освіти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виконавчих органів Дрогобицької міської ради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2023 році з оздоровлення та відпочинку 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дітей пільгових категорій  та обдарованої молоді»</w:t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період утвердження України як демократичної держави органи влади надають особливого значення проблемам дітей, підлітків та молоді, а саме їх пільгової частини: дітей-сиріт; дітей, позбавлених батьківського піклування; дітей, потерпілих унаслідок аварій на ЧАЕС; дітей з малозабезпечених та багатодітних сімей; дітей учасників бойових дій; талановитих та обдарованих дітей; дітей, які знаходяться на диспансерному обліку та ін. Забезпечення якісного відпочинку та оздоровлення дітей вищезгаданих категорій є вкрай важливим та необхідним. 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Турбота про здоров’я дітей – один з основних показників ставлення держави до проблем підростаючого покоління.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жаль,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постійних факторів ризику, у тому числі стресові перевантаження, зокрема в шкільному віці, спричиняють до порушення механізму саморегуляції фізіологічних функцій і сприяють розвитку в дітей хронічних захворювань.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вдається уникнути тенденції до збільшення кількості дітей-сиріт і дітей, позбавлених батьківського піклування.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здоров'я дітей –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Визначення понять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Оздоровлення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Послуги з оздоровлення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Відпочинкові послуги -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Оздоровча зміна -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Відпочинкова зміна - період перебування дитини в дитячому закладі оздоровлення та відпочинку не менше 14 днів.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Профільна зміна (туристична, спортивна, додаткової освіти: юних біологів, математиків, екологів тощо) - період перебування дитини в дитячому закладі оздоровлення та відпочинку, протягом якого дитина крім послуг з оздоровлення та відпочинку отримує комплекс послуг, спрямованих на розвиток певних здібностей та інтересів.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Тематична зміна - оздоровча або відпочинкова зміна, протягом якої дитина крім послуг з оздоровлення та відпочинку,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за спеціальною програмою.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Дитячий заклад оздоровлення та відпочинку - постійний або тимчасовий,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і відпочинку дітей відповідно до державних соціальних стандартів надання послуг з оздоровлення та відпочинку.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Дитячий заклад оздоровлення та відпочинку санаторного типу – заклад, у якому дитина перебуває цілодобово і, крім оздоровчих, отримує комплекс медичних послуг, спрямованих на поліпшення стану здоров’я, запобігання захворюванням. З урахуванням природо-кліматичних умов, наявної лікувально-оздоровчої бази, кадрового забезпечення такі заклади можуть бути спеціалізованими.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Дитячий центр – заклад, що функціонує протягом року, в якому діти перебувають цілодобово; має відповідне кадрове забезпечення, спеціально відведену територію, матеріально-технічну базу, які відповідають санітарно-гігієнічним нормам, для організації оздоровлення, відпочинку та навчання дітей.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Позаміський заклад оздоровлення та відпочинку – заклад, що функціонує протягом року, сезонно або під час канікул, у якому діти перебувають цілодобово. Заклад повинен мати спеціально відведену 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територію, що знаходиться в курортній або заміській зоні, матеріально-технічну базу, яка відповідає санітарно-гігієнічним нормам, кадрове забезпечення для організації оздоровлення.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Табір з денним перебуванням – заклад відпочинку, тимчасово утворений у навчальному закладі, закладі культури, охорони здоров’я, фізичної культури та спорту, в якому забезпечується дотримання виховного процесу, належний догляд за дітьми, їх повноцінне дозвілля, розвиток творчих здібностей та інтересів, в якому діти перебувають протягом дня, але не менше 6 (шести) годин.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Дитячий заклад праці та відпочинку – заклад відпочинку з денним або цілодобовим перебуванням, у якому організовуються відпочинок та трудова діяльність з метою формування у дітей трудових інтересів і навичок.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Наметове містечко – тимчасово діючий заклад відпочинку з денним або цілодобовим перебуванням, розташований на спеціально відведеній території, що відповідає санітарно-гігієнічним вимогам та нормам, у якому здійснюється комплекс заходів, спрямованих на формування у дітей навичок безпечної життєдіяльності, самообслуговування, колективізму.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Діти, які потребують особливої соціальної уваги та підтримки – діти-сироти та діти, позбавлені батьківського піклування; діти, які потребують особливої соціальної уваги та підтримки;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діти учасників АТО (ООС); діти, які знаходяться на диспансерному обліку; талановиті та обдаровані діти (переможці міжнародних, всеукраїнських, обласних олімпіад, конкурсів, фестивалів, змагань, спартакіад, відмінники навчання, лідери дитячих громадських організацій); бездоглядні та безпритульні діти; діти, які постраждали внаслідок стихійного лиха, техногенних аварій, катастроф. </w:t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Мета і основні завдання Програми 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завдання Програми: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 рівня та якості послуг у сфері відпочинку й оздоровлення дітей;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нормативно-правової бази щодо організації відпочинку та оздоровлення дітей;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збільшення кількості дітей, охоплених організованими формами відпочинку та оздоровлення;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мережі дитячих оздоровчих закладів;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поліпшення матеріально-технічного, науково-методичного забезпечення діяльності дитячих оздоровчих закладів;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оптимальних умов для безпечного й ефективного перебування дітей у дитячих закладах оздоровлення та відпочинку;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здійснення заходів, спрямованих на зміцнення здоров’я дітей шляхом організації оздоровлення та відпочинку;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зміцнення кадрового потенціалу й підвищення престижу праці в дитячих оздоровчих закладах.</w:t>
      </w:r>
    </w:p>
    <w:p>
      <w:pPr>
        <w:jc w:val="both"/>
        <w:rPr>
          <w:b/>
          <w:sz w:val="28"/>
          <w:szCs w:val="28"/>
          <w:lang w:val="uk-UA"/>
        </w:rPr>
      </w:pP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Фінансове забезпечення виконання Програми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Видатки, пов’язані з відпочинком та оздоровленням дітей, здійснюються за рахунок виділених в установленому порядку коштів з державного бюджету, обласного та місцевих бюджетів, коштів підприємств, установ, організацій; професійних спілок; Фонду соціального страхування з тимчасової втрати працездатності; позабюджетних фондів, а також добровільних внесків юридичних і фізичних осіб; коштів батьків та інших джерел, не заборонених чинним законодавством.</w:t>
      </w:r>
    </w:p>
    <w:p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коштів місцевого бюджету та бюджету місцевого самоврядування фінансуються послуги з оздоровлення та відпочинку: дітей, які потребують особливої уваги та підтримки; дітей - сиріт і дітей, позбавлених батьківського піклування; дітей, потерпілих від наслідків Чорнобильської катастрофи; дітей з багатодітних та малозабезпечених сімей; дітей, батьки яких загинули від нещасних випадків на виробництві або під час виконання службових обов’язків; дітей учасників бойових дій; дітей, які знаходяться на диспансерному обліку; талановитих та обдарованих дітей (переможців міжнародних, всеукраїнських, обласних олімпіад, конкурсів, фестивалів, змагань, спартакіад усіх рівнів, відмінників навчання); лідерів дитячих громадських організацій; дітей, які постраждали внаслідок стихійного лиха, техногенних аварій, катастроф; бездоглядних і безпритульних дітей.</w:t>
      </w:r>
      <w:r>
        <w:rPr>
          <w:b/>
          <w:i/>
          <w:sz w:val="28"/>
          <w:szCs w:val="28"/>
          <w:lang w:val="uk-UA"/>
        </w:rPr>
        <w:t xml:space="preserve"> </w:t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Прогнозовані результати виконання Програми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дасть змогу: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збільшити кількість дітей, охоплених організованими формами відпочинку та оздоровлення;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збільшити кількість наданих послуг з оздоровлення та відпочинку дітей, які потребують особливої соціальної уваги й підтримки;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сприяти збереженню і розвитку мережі дитячих закладів оздоровлення та відпочинку;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зміцнити матеріально-технічну базу діючих дитячих оздоровчих закладів та збільшити їх кількість, зокрема спеціалізованих і профільних оздоровчих закладів;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урізноманітнити та підвищити якість оздоровчих послуг;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високий рівень кадрового забезпечення та фахової підготовки працівників оздоровчих закладів;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створити оптимальні умови для безпечного й ефективного перебування дітей у дитячих закладах оздоровлення та відпочинку.</w:t>
      </w:r>
    </w:p>
    <w:p>
      <w:pPr>
        <w:pStyle w:val="10"/>
        <w:shd w:val="clear" w:color="auto" w:fill="auto"/>
        <w:spacing w:line="240" w:lineRule="auto"/>
        <w:ind w:right="320" w:firstLine="0"/>
        <w:rPr>
          <w:rStyle w:val="9"/>
          <w:b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right="320" w:firstLine="0"/>
        <w:rPr>
          <w:rStyle w:val="9"/>
          <w:b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right="320" w:firstLine="0"/>
        <w:rPr>
          <w:rStyle w:val="9"/>
          <w:b/>
          <w:color w:val="000000"/>
          <w:sz w:val="28"/>
          <w:szCs w:val="28"/>
        </w:rPr>
      </w:pPr>
      <w:r>
        <w:rPr>
          <w:rStyle w:val="9"/>
          <w:b/>
          <w:color w:val="000000"/>
          <w:sz w:val="28"/>
          <w:szCs w:val="28"/>
        </w:rPr>
        <w:t xml:space="preserve">Начальник відділу освіти </w:t>
      </w:r>
      <w:r>
        <w:rPr>
          <w:rStyle w:val="9"/>
          <w:b/>
          <w:color w:val="000000"/>
          <w:sz w:val="28"/>
          <w:szCs w:val="28"/>
        </w:rPr>
        <w:tab/>
      </w:r>
      <w:r>
        <w:rPr>
          <w:rStyle w:val="9"/>
          <w:b/>
          <w:color w:val="000000"/>
          <w:sz w:val="28"/>
          <w:szCs w:val="28"/>
        </w:rPr>
        <w:tab/>
      </w:r>
      <w:r>
        <w:rPr>
          <w:rStyle w:val="9"/>
          <w:b/>
          <w:color w:val="000000"/>
          <w:sz w:val="28"/>
          <w:szCs w:val="28"/>
        </w:rPr>
        <w:tab/>
      </w:r>
      <w:r>
        <w:rPr>
          <w:rStyle w:val="9"/>
          <w:b/>
          <w:color w:val="000000"/>
          <w:sz w:val="28"/>
          <w:szCs w:val="28"/>
        </w:rPr>
        <w:t xml:space="preserve">                            Віталій ВОВКІВ</w:t>
      </w:r>
      <w:r>
        <w:rPr>
          <w:rStyle w:val="9"/>
          <w:b/>
          <w:color w:val="000000"/>
          <w:sz w:val="28"/>
          <w:szCs w:val="28"/>
        </w:rPr>
        <w:tab/>
      </w:r>
      <w:r>
        <w:rPr>
          <w:rStyle w:val="9"/>
          <w:b/>
          <w:color w:val="000000"/>
          <w:sz w:val="28"/>
          <w:szCs w:val="28"/>
        </w:rPr>
        <w:tab/>
      </w:r>
      <w:r>
        <w:rPr>
          <w:rStyle w:val="9"/>
          <w:b/>
          <w:color w:val="000000"/>
          <w:sz w:val="28"/>
          <w:szCs w:val="28"/>
        </w:rPr>
        <w:tab/>
      </w:r>
    </w:p>
    <w:p>
      <w:pPr>
        <w:pStyle w:val="10"/>
        <w:shd w:val="clear" w:color="auto" w:fill="auto"/>
        <w:spacing w:line="240" w:lineRule="auto"/>
        <w:ind w:right="320" w:firstLine="0"/>
        <w:rPr>
          <w:rStyle w:val="9"/>
          <w:b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  <w:r>
        <w:rPr>
          <w:rStyle w:val="9"/>
          <w:b/>
          <w:color w:val="000000"/>
          <w:sz w:val="24"/>
          <w:szCs w:val="24"/>
        </w:rPr>
        <w:t xml:space="preserve">Додаток № 2 </w:t>
      </w: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  <w:r>
        <w:rPr>
          <w:rStyle w:val="9"/>
          <w:b/>
          <w:color w:val="000000"/>
          <w:sz w:val="24"/>
          <w:szCs w:val="24"/>
        </w:rPr>
        <w:t xml:space="preserve">         до рішення ______ сесії</w:t>
      </w:r>
    </w:p>
    <w:p>
      <w:pPr>
        <w:pStyle w:val="10"/>
        <w:shd w:val="clear" w:color="auto" w:fill="auto"/>
        <w:spacing w:line="240" w:lineRule="auto"/>
        <w:ind w:left="5300" w:right="320"/>
        <w:jc w:val="right"/>
        <w:rPr>
          <w:rStyle w:val="9"/>
          <w:b/>
          <w:color w:val="000000"/>
          <w:sz w:val="24"/>
          <w:szCs w:val="24"/>
        </w:rPr>
      </w:pPr>
      <w:r>
        <w:rPr>
          <w:rStyle w:val="9"/>
          <w:b/>
          <w:color w:val="000000"/>
          <w:sz w:val="24"/>
          <w:szCs w:val="24"/>
        </w:rPr>
        <w:t xml:space="preserve">Дрогобицької міської ради </w:t>
      </w:r>
    </w:p>
    <w:p>
      <w:pPr>
        <w:rPr>
          <w:b/>
          <w:sz w:val="28"/>
          <w:szCs w:val="28"/>
          <w:lang w:val="uk-UA"/>
        </w:rPr>
      </w:pPr>
      <w:r>
        <w:rPr>
          <w:rStyle w:val="9"/>
          <w:b/>
          <w:lang w:val="uk-UA"/>
        </w:rPr>
        <w:t xml:space="preserve">                                                                                                              від ______ 2022</w:t>
      </w:r>
      <w:r>
        <w:rPr>
          <w:rStyle w:val="11"/>
          <w:b/>
          <w:i w:val="0"/>
          <w:u w:val="none"/>
          <w:lang w:val="uk-UA"/>
        </w:rPr>
        <w:t xml:space="preserve">  року  №  ___</w:t>
      </w:r>
    </w:p>
    <w:p>
      <w:pPr>
        <w:rPr>
          <w:b/>
          <w:sz w:val="28"/>
          <w:szCs w:val="28"/>
          <w:lang w:val="uk-UA"/>
        </w:rPr>
      </w:pP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Дрогобицької міської ради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«Підготовка та проведення загальноміських заходів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відділу освіти виконавчих органів Дрогобицької міської ради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2023 році з оздоровлення та відпочинку 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дітей пільгових категорій та обдарованої молоді»</w:t>
      </w:r>
    </w:p>
    <w:p>
      <w:pPr>
        <w:jc w:val="center"/>
        <w:rPr>
          <w:b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Ініціатор розроблення Програми – відділ освіти виконавчих органів Дрогобицької міської ради.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Дата, номер документа про затвердження Програми.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Розробник Програми – відділ освіти виконавчих органів Дрогобицької міської ради. 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Співрозробники Програми: Департамент освіти і науки Львівської облдержадміністрації, 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Відповідальний виконавець Програми – відділ освіти виконавчих органів Дрогобицької міської ради.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Учасники Програми - відділ освіти виконавчих органів Дрогобицької міської ради і заклади загальної середньої та позашкільної освіти Дрогобицької міської територіальної громади.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Термін реалізації Програми: 2023 рік.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Загальний обсяг фінансування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ресурсів, необхідних для реалізації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Програми, тис. грн.: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686 000 грн.,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тому числі на відпочинок та оздоровлення в оздоровчих таборах – 686 000 грн.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Коштів міського бюджету -  686 000 грн.,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тому числі на оздоровлення в оздоровчих таборах – 686 000 грн. 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Віталій ВОВКІВ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>
      <w:pPr>
        <w:rPr>
          <w:b/>
          <w:sz w:val="28"/>
          <w:szCs w:val="28"/>
          <w:lang w:val="uk-UA"/>
        </w:rPr>
      </w:pPr>
    </w:p>
    <w:p>
      <w:pPr>
        <w:rPr>
          <w:b/>
          <w:sz w:val="28"/>
          <w:szCs w:val="28"/>
          <w:lang w:val="uk-UA"/>
        </w:rPr>
      </w:pPr>
    </w:p>
    <w:p>
      <w:pPr>
        <w:rPr>
          <w:b/>
          <w:sz w:val="28"/>
          <w:szCs w:val="28"/>
          <w:lang w:val="uk-UA"/>
        </w:rPr>
      </w:pPr>
    </w:p>
    <w:p>
      <w:pPr>
        <w:rPr>
          <w:b/>
          <w:sz w:val="28"/>
          <w:szCs w:val="28"/>
          <w:lang w:val="uk-UA"/>
        </w:rPr>
      </w:pPr>
    </w:p>
    <w:p>
      <w:pPr>
        <w:rPr>
          <w:b/>
          <w:sz w:val="28"/>
          <w:szCs w:val="28"/>
          <w:lang w:val="uk-UA"/>
        </w:rPr>
      </w:pPr>
    </w:p>
    <w:sectPr>
      <w:pgSz w:w="11906" w:h="16838"/>
      <w:pgMar w:top="709" w:right="850" w:bottom="28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cademy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02"/>
    <w:rsid w:val="00032EBD"/>
    <w:rsid w:val="0003791E"/>
    <w:rsid w:val="000C333D"/>
    <w:rsid w:val="00112FC1"/>
    <w:rsid w:val="00113D76"/>
    <w:rsid w:val="00122486"/>
    <w:rsid w:val="001228E1"/>
    <w:rsid w:val="001334D5"/>
    <w:rsid w:val="00160975"/>
    <w:rsid w:val="001D34CC"/>
    <w:rsid w:val="00204662"/>
    <w:rsid w:val="00212D69"/>
    <w:rsid w:val="00265391"/>
    <w:rsid w:val="002875F2"/>
    <w:rsid w:val="002A473E"/>
    <w:rsid w:val="002B4468"/>
    <w:rsid w:val="002D1402"/>
    <w:rsid w:val="00304C0A"/>
    <w:rsid w:val="00327EC3"/>
    <w:rsid w:val="003304A6"/>
    <w:rsid w:val="00363A32"/>
    <w:rsid w:val="00375270"/>
    <w:rsid w:val="003A6373"/>
    <w:rsid w:val="003B3C32"/>
    <w:rsid w:val="003D11B4"/>
    <w:rsid w:val="00402EAD"/>
    <w:rsid w:val="0041037A"/>
    <w:rsid w:val="004174FA"/>
    <w:rsid w:val="00426143"/>
    <w:rsid w:val="00464877"/>
    <w:rsid w:val="00480558"/>
    <w:rsid w:val="00487032"/>
    <w:rsid w:val="004B6454"/>
    <w:rsid w:val="004C255B"/>
    <w:rsid w:val="004C3021"/>
    <w:rsid w:val="004D04AF"/>
    <w:rsid w:val="004D0545"/>
    <w:rsid w:val="004D2550"/>
    <w:rsid w:val="00530CF5"/>
    <w:rsid w:val="00542A47"/>
    <w:rsid w:val="00555D09"/>
    <w:rsid w:val="00557D18"/>
    <w:rsid w:val="005C3784"/>
    <w:rsid w:val="005C3924"/>
    <w:rsid w:val="005D56B1"/>
    <w:rsid w:val="005F7CC8"/>
    <w:rsid w:val="00602406"/>
    <w:rsid w:val="00622D7B"/>
    <w:rsid w:val="00626685"/>
    <w:rsid w:val="00667C02"/>
    <w:rsid w:val="006876C0"/>
    <w:rsid w:val="006A4040"/>
    <w:rsid w:val="006A5D7B"/>
    <w:rsid w:val="006C2600"/>
    <w:rsid w:val="006D1139"/>
    <w:rsid w:val="006E4335"/>
    <w:rsid w:val="006F65EB"/>
    <w:rsid w:val="00707E88"/>
    <w:rsid w:val="0071740F"/>
    <w:rsid w:val="00734DC1"/>
    <w:rsid w:val="0073615A"/>
    <w:rsid w:val="0074029A"/>
    <w:rsid w:val="00742969"/>
    <w:rsid w:val="00746206"/>
    <w:rsid w:val="00752358"/>
    <w:rsid w:val="007524B0"/>
    <w:rsid w:val="007621BE"/>
    <w:rsid w:val="00766E30"/>
    <w:rsid w:val="007B152F"/>
    <w:rsid w:val="007E12BE"/>
    <w:rsid w:val="007E45A7"/>
    <w:rsid w:val="008153AC"/>
    <w:rsid w:val="00882B24"/>
    <w:rsid w:val="008C26C5"/>
    <w:rsid w:val="008E00B4"/>
    <w:rsid w:val="009019CC"/>
    <w:rsid w:val="0090736B"/>
    <w:rsid w:val="0094594E"/>
    <w:rsid w:val="00955A2D"/>
    <w:rsid w:val="00992160"/>
    <w:rsid w:val="00993AC6"/>
    <w:rsid w:val="009B4151"/>
    <w:rsid w:val="009C5F46"/>
    <w:rsid w:val="009D1FA3"/>
    <w:rsid w:val="009E2D07"/>
    <w:rsid w:val="009F7208"/>
    <w:rsid w:val="00A24E85"/>
    <w:rsid w:val="00AA1C44"/>
    <w:rsid w:val="00AE3770"/>
    <w:rsid w:val="00AE4D16"/>
    <w:rsid w:val="00AE788A"/>
    <w:rsid w:val="00B13BB7"/>
    <w:rsid w:val="00B42854"/>
    <w:rsid w:val="00B42D54"/>
    <w:rsid w:val="00B501BD"/>
    <w:rsid w:val="00B73B31"/>
    <w:rsid w:val="00BB7CA8"/>
    <w:rsid w:val="00BC5C03"/>
    <w:rsid w:val="00BD237E"/>
    <w:rsid w:val="00C13306"/>
    <w:rsid w:val="00C9231E"/>
    <w:rsid w:val="00CA4473"/>
    <w:rsid w:val="00CF7595"/>
    <w:rsid w:val="00D12A27"/>
    <w:rsid w:val="00D20696"/>
    <w:rsid w:val="00D47D3F"/>
    <w:rsid w:val="00D56624"/>
    <w:rsid w:val="00D85B0F"/>
    <w:rsid w:val="00D954B9"/>
    <w:rsid w:val="00DB3033"/>
    <w:rsid w:val="00DC2748"/>
    <w:rsid w:val="00DF3E39"/>
    <w:rsid w:val="00E038F5"/>
    <w:rsid w:val="00E07684"/>
    <w:rsid w:val="00E22663"/>
    <w:rsid w:val="00E42616"/>
    <w:rsid w:val="00E53063"/>
    <w:rsid w:val="00E76B44"/>
    <w:rsid w:val="00E93247"/>
    <w:rsid w:val="00EB4446"/>
    <w:rsid w:val="00EE06D8"/>
    <w:rsid w:val="00F1449A"/>
    <w:rsid w:val="00F52122"/>
    <w:rsid w:val="00F719ED"/>
    <w:rsid w:val="00F74B1E"/>
    <w:rsid w:val="00F74B48"/>
    <w:rsid w:val="00F76C73"/>
    <w:rsid w:val="00F811FC"/>
    <w:rsid w:val="00F81799"/>
    <w:rsid w:val="00F84F70"/>
    <w:rsid w:val="00F9078B"/>
    <w:rsid w:val="00F95C95"/>
    <w:rsid w:val="00FA765C"/>
    <w:rsid w:val="00FC0B81"/>
    <w:rsid w:val="00FE140B"/>
    <w:rsid w:val="00FE1B89"/>
    <w:rsid w:val="4D5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3">
    <w:name w:val="heading 5"/>
    <w:basedOn w:val="1"/>
    <w:next w:val="1"/>
    <w:qFormat/>
    <w:uiPriority w:val="0"/>
    <w:pPr>
      <w:keepNext/>
      <w:spacing w:line="360" w:lineRule="auto"/>
      <w:jc w:val="center"/>
      <w:outlineLvl w:val="4"/>
    </w:pPr>
    <w:rPr>
      <w:b/>
      <w:sz w:val="32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  <w:lang w:val="uk-UA" w:eastAsia="uk-U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lang w:val="uk-UA" w:eastAsia="uk-UA"/>
    </w:rPr>
  </w:style>
  <w:style w:type="character" w:customStyle="1" w:styleId="9">
    <w:name w:val="Основной текст (7)_"/>
    <w:basedOn w:val="4"/>
    <w:link w:val="10"/>
    <w:qFormat/>
    <w:uiPriority w:val="0"/>
    <w:rPr>
      <w:sz w:val="23"/>
      <w:szCs w:val="23"/>
      <w:shd w:val="clear" w:color="auto" w:fill="FFFFFF"/>
    </w:rPr>
  </w:style>
  <w:style w:type="paragraph" w:customStyle="1" w:styleId="10">
    <w:name w:val="Основной текст (7)"/>
    <w:basedOn w:val="1"/>
    <w:link w:val="9"/>
    <w:qFormat/>
    <w:uiPriority w:val="0"/>
    <w:pPr>
      <w:widowControl w:val="0"/>
      <w:shd w:val="clear" w:color="auto" w:fill="FFFFFF"/>
      <w:spacing w:line="265" w:lineRule="exact"/>
      <w:ind w:firstLine="520"/>
    </w:pPr>
    <w:rPr>
      <w:sz w:val="23"/>
      <w:szCs w:val="23"/>
      <w:lang w:val="uk-UA" w:eastAsia="uk-UA"/>
    </w:rPr>
  </w:style>
  <w:style w:type="character" w:customStyle="1" w:styleId="11">
    <w:name w:val="Основной текст (7) + Курсив"/>
    <w:basedOn w:val="9"/>
    <w:qFormat/>
    <w:uiPriority w:val="0"/>
    <w:rPr>
      <w:i/>
      <w:iCs/>
      <w:spacing w:val="-20"/>
      <w:sz w:val="23"/>
      <w:szCs w:val="23"/>
      <w:u w:val="single"/>
      <w:shd w:val="clear" w:color="auto" w:fill="FFFFFF"/>
    </w:rPr>
  </w:style>
  <w:style w:type="character" w:customStyle="1" w:styleId="12">
    <w:name w:val="Текст выноски Знак"/>
    <w:basedOn w:val="4"/>
    <w:link w:val="7"/>
    <w:qFormat/>
    <w:uiPriority w:val="99"/>
    <w:rPr>
      <w:rFonts w:ascii="Tahoma" w:hAnsi="Tahoma" w:eastAsia="Times New Roman" w:cs="Tahoma"/>
      <w:sz w:val="16"/>
      <w:szCs w:val="16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2182</Words>
  <Characters>12444</Characters>
  <Lines>103</Lines>
  <Paragraphs>29</Paragraphs>
  <TotalTime>935</TotalTime>
  <ScaleCrop>false</ScaleCrop>
  <LinksUpToDate>false</LinksUpToDate>
  <CharactersWithSpaces>14597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2016-02-29T14:15:00Z</dcterms:created>
  <dc:creator>1</dc:creator>
  <cp:lastModifiedBy>Відділ ІТ та ана�</cp:lastModifiedBy>
  <cp:lastPrinted>2022-11-21T07:50:00Z</cp:lastPrinted>
  <dcterms:modified xsi:type="dcterms:W3CDTF">2022-11-22T09:18:30Z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5AA990CD59E64C22981EC643E671342E</vt:lpwstr>
  </property>
</Properties>
</file>