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Додаток </w:t>
      </w:r>
    </w:p>
    <w:p>
      <w:pPr>
        <w:ind w:left="1276"/>
        <w:jc w:val="righ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до рішення виконавчого комітету </w:t>
      </w:r>
    </w:p>
    <w:p>
      <w:pPr>
        <w:ind w:left="1276"/>
        <w:jc w:val="righ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№____ від «___»________2023 р.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Прейскурант цін на платні послуги, що надаються  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КНП «Дрогобицька міська лікарня № 1» ДМР</w:t>
      </w:r>
    </w:p>
    <w:p>
      <w:pPr>
        <w:tabs>
          <w:tab w:val="left" w:pos="700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згідно постанови Кабінету Міністрів України від 17.09.1996 №1138</w:t>
      </w:r>
    </w:p>
    <w:p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tbl>
      <w:tblPr>
        <w:tblStyle w:val="5"/>
        <w:tblW w:w="0" w:type="auto"/>
        <w:tblCellSpacing w:w="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7371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№ з/п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Назва послуги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Вартість послуги без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9596" w:type="dxa"/>
            <w:gridSpan w:val="3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КОМП’ЮТЕРНА ТОМОГРАФІЯ</w:t>
            </w:r>
          </w:p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за зверненням громадян без направлення лікаря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головного мозгу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548,00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головного мозгу з контрастним підсиленням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2104,00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3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ангіографія однієї анатомічної ділянки з контрастним підсиленням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2650,00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4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органів грудної порожнини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548,00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5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органів грудної порожнини з контрастним підсиленням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2650,00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6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хребта(шийного,грудного,поперекового-1 відділ)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548,00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7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органів черевної порожнини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548,00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8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органів черевної порожнини з контрастним підсиленням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2650,00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9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органів черевної порожнини та малого тазу з контрастним підсиленням(одномоментно)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2650,00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10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сечовидільної системи(нирки,сечоводи,сечовий міхур) з контрастним підсиленням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2650,00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однієї анатомічної ділянки(кістки тазу,слепіння,всі види суглобів і т.д.)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548,00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12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органів грудної клітки (ОГК) органів черевної порожнини (ОЧП) органів малого тазу (ОМТ) та головного мозку з контрастним підсиленням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3629,00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13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органів грудної клітки (ОГК) органів черевної порожнини (ОЧП) органів малого тазу (ОМТ)з контрастним підсиленням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3321,00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14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скринінг всього тіла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1468,00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15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КТ приносових пазух носа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408,00</w:t>
            </w:r>
          </w:p>
        </w:tc>
      </w:tr>
    </w:tbl>
    <w:p>
      <w:pPr>
        <w:pStyle w:val="17"/>
        <w:jc w:val="center"/>
        <w:rPr>
          <w:sz w:val="24"/>
          <w:lang w:eastAsia="uk-UA"/>
        </w:rPr>
      </w:pPr>
    </w:p>
    <w:tbl>
      <w:tblPr>
        <w:tblStyle w:val="5"/>
        <w:tblW w:w="0" w:type="auto"/>
        <w:tblCellSpacing w:w="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7371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№ з/п</w:t>
            </w:r>
          </w:p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 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Назва послуги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Вартість послуги без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6" w:type="dxa"/>
            <w:gridSpan w:val="3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b/>
                <w:sz w:val="24"/>
                <w:lang w:eastAsia="uk-UA"/>
              </w:rPr>
            </w:pPr>
            <w:r>
              <w:rPr>
                <w:b/>
                <w:sz w:val="24"/>
                <w:lang w:eastAsia="uk-UA"/>
              </w:rPr>
              <w:t>Інші послуги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лікар-хірурга 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лікаря-травматолога 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3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лікаря-офтальмолога 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4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лікаря-нейрохірурга 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5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лікаря- уролога(консультування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6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лікаря-отоларинголога 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7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лікаря-ендоскопіста 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8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лікаря -терапевта(консультування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9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лікаря-кардіолога 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10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лікаря-невропатолога(консультування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лікаря –ендокриногола 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12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both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Огляд лікаря –стоматолога-хірурга (консультування без направлення)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113,00</w:t>
            </w:r>
          </w:p>
        </w:tc>
      </w:tr>
    </w:tbl>
    <w:p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tbl>
      <w:tblPr>
        <w:tblStyle w:val="5"/>
        <w:tblW w:w="0" w:type="auto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7367"/>
        <w:gridCol w:w="1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Вартість послуги 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tblCellSpacing w:w="0" w:type="dxa"/>
          <w:jc w:val="center"/>
        </w:trPr>
        <w:tc>
          <w:tcPr>
            <w:tcW w:w="9596" w:type="dxa"/>
            <w:gridSpan w:val="3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Інші послуги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Видача копії медичної довідки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Видача копії витягу з історії хвороби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Проходження стажування в заочній частині інтернатури( за місяць)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1262,00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Послуги пральні за договорами з медичними підприємства Дрогобицької міської ради( за 1 кг. випраної білизни)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23,71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Послуги пральні за договорами з іншими підприємствами        ( за 1 кг. випраної білизни)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40,86</w:t>
            </w:r>
          </w:p>
        </w:tc>
      </w:tr>
    </w:tbl>
    <w:p>
      <w:pPr>
        <w:pStyle w:val="17"/>
        <w:rPr>
          <w:sz w:val="24"/>
          <w:szCs w:val="24"/>
          <w:lang w:eastAsia="uk-UA"/>
        </w:rPr>
      </w:pPr>
    </w:p>
    <w:tbl>
      <w:tblPr>
        <w:tblStyle w:val="5"/>
        <w:tblW w:w="0" w:type="auto"/>
        <w:tblCellSpacing w:w="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7371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Назва послуги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Вартість послуги 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tblCellSpacing w:w="0" w:type="dxa"/>
        </w:trPr>
        <w:tc>
          <w:tcPr>
            <w:tcW w:w="9596" w:type="dxa"/>
            <w:gridSpan w:val="3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Інші послуги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Корекція зору за допомогою окулярів та контактних оптичних лінз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222,00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Огляд на стан алкогольного,наркотичного та іншого сп’яніння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193,00</w:t>
            </w:r>
          </w:p>
        </w:tc>
      </w:tr>
    </w:tbl>
    <w:p>
      <w:pPr>
        <w:pStyle w:val="17"/>
        <w:rPr>
          <w:sz w:val="24"/>
          <w:szCs w:val="24"/>
          <w:lang w:eastAsia="uk-UA"/>
        </w:rPr>
      </w:pPr>
    </w:p>
    <w:tbl>
      <w:tblPr>
        <w:tblStyle w:val="5"/>
        <w:tblW w:w="0" w:type="auto"/>
        <w:tblCellSpacing w:w="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7371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7" w:hRule="atLeast"/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Вартість послуги без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6" w:type="dxa"/>
            <w:gridSpan w:val="3"/>
            <w:vAlign w:val="center"/>
          </w:tcPr>
          <w:p>
            <w:pPr>
              <w:pStyle w:val="17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Проведення  лабораторних досліджень</w:t>
            </w:r>
          </w:p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 оформлення їх результатів за зверненням громадян без направлення лікаря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6" w:type="dxa"/>
            <w:gridSpan w:val="3"/>
            <w:vAlign w:val="center"/>
          </w:tcPr>
          <w:p>
            <w:pPr>
              <w:pStyle w:val="17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Біохімічні дослідження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Аналіз крові на цукор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Протромбіновий індекс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L амілаза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AST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Сечовина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Загальний протеїн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Холестирин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АЛТ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Креатинін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Протромбіновий індекс +INR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Ліпідограма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Тригліцериди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Визначення групи крові і Rh(резус –фактор)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Біохімічне дослідження (стрептолізин-О(АСЛО)) кількісно на аналізаторі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Біохімічне дослідження(сечової кислоти)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Біохімічне дослідження(електроліти)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  крові на загальний білірубін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  крові на прямий білірубін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Коагулограма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Активний частковий тромбопластичний час (АЧТЧ)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  сечі на діастазу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Креатингіназа МВ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Біохімічне дослідження (ревматоїдний фактор) кількісно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Глікозований гемоглобін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С-реактивний протеїн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Гама-глутамінтрансфераза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371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Мікробіологічні дослідження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на кишкову групу інфекцій(умовно-патогенна і патогенна флора)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293,00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Профілактичне дослідження на насійство збудників кишкових інфекцій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біоматеріалу на флору(зів,ніс)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296,00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Профілактичне дослідження  на носійство Staphylococcus або ідентифікація мікроорганізмів роду Staphylococcus (біохімічні тести)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копрокультури на дисбактеріоз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біоматеріалу (виділення з вуха) на умовно патогенну флору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Виявлення бактеріального забрудненяя обєктів довкілля методом змивів на патогенну та умовно-патогенну флору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біоматеріалу на умовно-патогенну флору(харкотиння)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біоматеріалу на умовно-патогенну флору(виділення з очей)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 Дослідження біоматеріалу на умовно-патогенну флору(сеча)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біоматеріалу на умовно-патогенну флору(виділення із статевих органів)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крові на стерильність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Бактеріологічний контроль стерильності медичних виробів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Визначення бактеріального забрудненяя повітря закритих приміщень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біоматеріалу на умовно-патогенну флору жовчі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крові на гемокультуру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 Ідентифікація мікроорганізмів роду Meningococus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 Ідентифікація мікроорганізмів роду Boroletella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 Ідентифікація мікроорганізмів роду Corynebacterium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біоматеріалу на умовно патогеннум флору(з рани)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Контроль роботи парових,повітряних стерилізаторів біологічним методом Altest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Контроль роботи парових,повітряних стерилізаторів хімічним методом Altest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Діагностичне дослідження на насійство збудників кишкових інфекцій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371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Загально-клінічні дослідження</w:t>
            </w:r>
            <w:r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спинно-мозкової рідини (лікворограма)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Загальний аналіз сечі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Білок Бенс-Джонса в сечі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Копрологічне дослідження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Паразитологічне дослідження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сечі по Нечипоренко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Клінічне дослідження пунктатів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Загальний аналіз харкотиння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Клінічне дослідження біоматеріалу на флору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Цукор сечі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Ацетон сечі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Клінічне дослідження навколоплідних вод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сечі по Земницькому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харкотиння на КСП(кислотно-стйка паличка)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Цитологічне дослідження харкотиння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Цитологічне дослідження випітних рідин (пунктатів)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Мікроскопічне дослідження скрабу простати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371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Гематологічні дослідження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капілярної крові на час згортання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  крові на тропонін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  крові на Д-димер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  капілярної крові на кількість ретикулоцитів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Загальний аналіз крові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Дослідження крові на Прокальцитонін 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371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Забір крові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7371" w:type="dxa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Забір венозної крові</w:t>
            </w:r>
          </w:p>
        </w:tc>
        <w:tc>
          <w:tcPr>
            <w:tcW w:w="1535" w:type="dxa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46,00</w:t>
            </w:r>
          </w:p>
        </w:tc>
      </w:tr>
    </w:tbl>
    <w:p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tbl>
      <w:tblPr>
        <w:tblStyle w:val="5"/>
        <w:tblW w:w="0" w:type="auto"/>
        <w:tblCellSpacing w:w="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7364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tblCellSpacing w:w="0" w:type="dxa"/>
        </w:trPr>
        <w:tc>
          <w:tcPr>
            <w:tcW w:w="69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№</w:t>
            </w:r>
          </w:p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з/п</w:t>
            </w:r>
          </w:p>
        </w:tc>
        <w:tc>
          <w:tcPr>
            <w:tcW w:w="7364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Назва послуги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Вартість послуги 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6" w:type="dxa"/>
            <w:gridSpan w:val="3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Масаж (відділення відновного лікування)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1</w:t>
            </w:r>
          </w:p>
        </w:tc>
        <w:tc>
          <w:tcPr>
            <w:tcW w:w="7364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Загальний оздоровчий масаж (1сеанс)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221,00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2</w:t>
            </w:r>
          </w:p>
        </w:tc>
        <w:tc>
          <w:tcPr>
            <w:tcW w:w="7364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Оздоровчий масаж спини(1сеанс)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81,00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3</w:t>
            </w:r>
          </w:p>
        </w:tc>
        <w:tc>
          <w:tcPr>
            <w:tcW w:w="7364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Оздоровча фізкультура для профілактики сколіозу(1сеанс)</w:t>
            </w:r>
          </w:p>
        </w:tc>
        <w:tc>
          <w:tcPr>
            <w:tcW w:w="1535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93,00</w:t>
            </w:r>
          </w:p>
        </w:tc>
      </w:tr>
    </w:tbl>
    <w:p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tbl>
      <w:tblPr>
        <w:tblStyle w:val="5"/>
        <w:tblW w:w="0" w:type="auto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7367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№</w:t>
            </w:r>
          </w:p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Назва послуги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Вартість послуги без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9596" w:type="dxa"/>
            <w:gridSpan w:val="3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УЛЬТРАЗВУКОВА ДІАГНОСТИКА</w:t>
            </w:r>
          </w:p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за зверненням громадян без направлення лікаря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УЗД: пакет №1 (печінка+жовчний міхур+жовчні протоки+підшлункова залоза+селезінка)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УЗД : пакет №2(нирки +наднирникові залози + сечовий міхур+предміхурова залоза)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УЗД : пакет №3(нирки +надниркові залози)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УЗД : пакет №4(сечовий міхур з визначенням залишкової сечі)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УЗД : пакет №5(передміхурова залоза)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УЗД : пакет №6(для жінок матка + яєчники)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170,00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УДЗ: пакет №7:(щитової залози+ кольорове доплерівське картування) 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УДЗ: пакет №8:(молочної залози+ кольорове доплерівське картування) </w:t>
            </w:r>
          </w:p>
          <w:p>
            <w:pPr>
              <w:pStyle w:val="17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193,00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УДЗ: пакет №9:(поверхневих органів(мяких тканин)+ кольорове доплерівське картування) 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УДЗ: пакет №10:(плевральної порожнини) 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УДЗ пакет №11:(нирки+сечовий міхур+ кольорове доплерівське картування)+ викиди в сечовий міхур 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УДЗ легень 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УДЗ пакет №12:(сечовий міхур+викиди в сечовий міхур+кольорове доплерівське картування) 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УДЗ пакет №13:(лімфатичних вузлів+кольорове доплерівське картування) 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УЗД судин нижньої кінцівки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193,00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УЗД судин верхньої кінцівки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193,00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УЗД судин шиї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193,00</w:t>
            </w:r>
          </w:p>
        </w:tc>
      </w:tr>
    </w:tbl>
    <w:p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tbl>
      <w:tblPr>
        <w:tblStyle w:val="5"/>
        <w:tblW w:w="0" w:type="auto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7367"/>
        <w:gridCol w:w="1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№ з/п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Назва послуги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Вартість послуги без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9596" w:type="dxa"/>
            <w:gridSpan w:val="3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ФУНКЦІОНАЛЬНА ДІАГНОСТИКА</w:t>
            </w:r>
          </w:p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lang w:eastAsia="uk-UA"/>
              </w:rPr>
              <w:t>за зверненням громадян без направлення лікаря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1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Гастродуоденоскопія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504,00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2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Фібробронхоскопія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524,00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3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Ехокардіографія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240,00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4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Електрокардіограма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82,00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5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Електрокардіограма з фізичним навантаженням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128,00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6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Електрокардіограма</w:t>
            </w:r>
            <w:r>
              <w:rPr>
                <w:sz w:val="24"/>
                <w:shd w:val="clear" w:color="auto" w:fill="FFFFFF"/>
                <w:lang w:eastAsia="uk-UA"/>
              </w:rPr>
              <w:t xml:space="preserve"> з медикаментозним навантаженням 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186,00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7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Електрокардіограма на палаті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8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Функція зовнішнього дихання (спірометрія)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9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Ренген обстеження цифрове органів грудної клітки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165,00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10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Ренген обстеження цифрове в двох проекціях (1 ділянки)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185,00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11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Ренген обстеження цифрове в двох проекціях (2 ділянок)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263,00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12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Цистоскопія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220,00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88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13</w:t>
            </w:r>
          </w:p>
        </w:tc>
        <w:tc>
          <w:tcPr>
            <w:tcW w:w="7371" w:type="dxa"/>
            <w:shd w:val="clear" w:color="auto" w:fill="FFFFFF"/>
            <w:vAlign w:val="center"/>
          </w:tcPr>
          <w:p>
            <w:pPr>
              <w:pStyle w:val="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Колоноскопія</w:t>
            </w:r>
          </w:p>
        </w:tc>
        <w:tc>
          <w:tcPr>
            <w:tcW w:w="1537" w:type="dxa"/>
            <w:shd w:val="clear" w:color="auto" w:fill="FFFFFF"/>
            <w:vAlign w:val="center"/>
          </w:tcPr>
          <w:p>
            <w:pPr>
              <w:pStyle w:val="1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lang w:eastAsia="uk-UA"/>
              </w:rPr>
              <w:t>264,00</w:t>
            </w:r>
          </w:p>
        </w:tc>
      </w:tr>
    </w:tbl>
    <w:p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>
      <w:pPr>
        <w:tabs>
          <w:tab w:val="left" w:pos="142"/>
          <w:tab w:val="left" w:pos="7050"/>
        </w:tabs>
        <w:ind w:left="426"/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Керуючий справами виконкому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Віталій ВОВКІВ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E58"/>
    <w:rsid w:val="000625F0"/>
    <w:rsid w:val="00071062"/>
    <w:rsid w:val="001316F1"/>
    <w:rsid w:val="00187164"/>
    <w:rsid w:val="001C35E8"/>
    <w:rsid w:val="001C3E58"/>
    <w:rsid w:val="0025561A"/>
    <w:rsid w:val="00355556"/>
    <w:rsid w:val="003805C5"/>
    <w:rsid w:val="003F5FB6"/>
    <w:rsid w:val="0041223B"/>
    <w:rsid w:val="004259A6"/>
    <w:rsid w:val="00431C9A"/>
    <w:rsid w:val="00502713"/>
    <w:rsid w:val="00522E7A"/>
    <w:rsid w:val="00545838"/>
    <w:rsid w:val="005E55C7"/>
    <w:rsid w:val="006A1B3A"/>
    <w:rsid w:val="007020AE"/>
    <w:rsid w:val="0072553E"/>
    <w:rsid w:val="00750824"/>
    <w:rsid w:val="00780662"/>
    <w:rsid w:val="008A2082"/>
    <w:rsid w:val="008D6D5B"/>
    <w:rsid w:val="009163CC"/>
    <w:rsid w:val="0098470D"/>
    <w:rsid w:val="009D2B95"/>
    <w:rsid w:val="00A949D3"/>
    <w:rsid w:val="00B173A6"/>
    <w:rsid w:val="00B82C55"/>
    <w:rsid w:val="00B864EF"/>
    <w:rsid w:val="00C23CF1"/>
    <w:rsid w:val="00DE241E"/>
    <w:rsid w:val="00ED65A4"/>
    <w:rsid w:val="00F61F54"/>
    <w:rsid w:val="00FD29AC"/>
    <w:rsid w:val="00FD46F6"/>
    <w:rsid w:val="14B91757"/>
    <w:rsid w:val="18131835"/>
    <w:rsid w:val="506D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link w:val="11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paragraph" w:styleId="7">
    <w:name w:val="Balloon Text"/>
    <w:basedOn w:val="1"/>
    <w:link w:val="1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9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2 Знак"/>
    <w:basedOn w:val="4"/>
    <w:link w:val="2"/>
    <w:qFormat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11">
    <w:name w:val="Заголовок 6 Знак"/>
    <w:basedOn w:val="4"/>
    <w:link w:val="3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  <w:sz w:val="20"/>
      <w:szCs w:val="20"/>
      <w:lang w:eastAsia="ru-RU"/>
    </w:rPr>
  </w:style>
  <w:style w:type="character" w:customStyle="1" w:styleId="12">
    <w:name w:val="rvts23"/>
    <w:basedOn w:val="4"/>
    <w:uiPriority w:val="0"/>
  </w:style>
  <w:style w:type="character" w:customStyle="1" w:styleId="13">
    <w:name w:val="rvts0"/>
    <w:basedOn w:val="4"/>
    <w:qFormat/>
    <w:uiPriority w:val="0"/>
  </w:style>
  <w:style w:type="character" w:customStyle="1" w:styleId="14">
    <w:name w:val="docdata"/>
    <w:basedOn w:val="4"/>
    <w:uiPriority w:val="0"/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customStyle="1" w:styleId="16">
    <w:name w:val="Текст у виносці Знак"/>
    <w:basedOn w:val="4"/>
    <w:link w:val="7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7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9EDF3-EA8C-4066-AFE7-6063810D85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7733</Words>
  <Characters>4409</Characters>
  <Lines>36</Lines>
  <Paragraphs>24</Paragraphs>
  <TotalTime>221</TotalTime>
  <ScaleCrop>false</ScaleCrop>
  <LinksUpToDate>false</LinksUpToDate>
  <CharactersWithSpaces>12118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2023-06-07T11:48:00Z</dcterms:created>
  <dc:creator>User</dc:creator>
  <cp:lastModifiedBy>Відділ ІТ та ана�</cp:lastModifiedBy>
  <cp:lastPrinted>2023-06-08T11:27:00Z</cp:lastPrinted>
  <dcterms:modified xsi:type="dcterms:W3CDTF">2023-06-27T14:20:19Z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805686EBDBD64C16A1FF334B9F370F6F</vt:lpwstr>
  </property>
</Properties>
</file>