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3540" w:firstLine="708"/>
        <w:jc w:val="both"/>
        <w:rPr>
          <w:rFonts w:ascii="Times New Roman" w:hAnsi="Times New Roman" w:cs="Times New Roman"/>
          <w:b/>
          <w:sz w:val="28"/>
          <w:szCs w:val="28"/>
          <w:highlight w:val="none"/>
        </w:rPr>
      </w:pPr>
      <w:bookmarkStart w:id="0" w:name="_GoBack"/>
      <w:r>
        <w:rPr>
          <w:rFonts w:ascii="Times New Roman" w:hAnsi="Times New Roman" w:cs="Times New Roman"/>
          <w:b/>
          <w:sz w:val="28"/>
          <w:szCs w:val="28"/>
          <w:highlight w:val="none"/>
        </w:rPr>
        <w:t>ЗАТВЕРДЖЕНО</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рішенням Дрогобицької міської ради</w:t>
      </w:r>
    </w:p>
    <w:p>
      <w:pPr>
        <w:spacing w:after="0" w:line="240" w:lineRule="auto"/>
        <w:jc w:val="both"/>
        <w:rPr>
          <w:rFonts w:hint="default" w:ascii="Times New Roman" w:hAnsi="Times New Roman" w:cs="Times New Roman"/>
          <w:b/>
          <w:sz w:val="28"/>
          <w:szCs w:val="28"/>
          <w:highlight w:val="none"/>
          <w:lang w:val="uk-UA"/>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від __________202</w:t>
      </w:r>
      <w:r>
        <w:rPr>
          <w:rFonts w:hint="default" w:ascii="Times New Roman" w:hAnsi="Times New Roman" w:cs="Times New Roman"/>
          <w:b/>
          <w:sz w:val="28"/>
          <w:szCs w:val="28"/>
          <w:highlight w:val="none"/>
          <w:lang w:val="uk-UA"/>
        </w:rPr>
        <w:t>3</w:t>
      </w:r>
      <w:r>
        <w:rPr>
          <w:rFonts w:ascii="Times New Roman" w:hAnsi="Times New Roman" w:cs="Times New Roman"/>
          <w:b/>
          <w:sz w:val="28"/>
          <w:szCs w:val="28"/>
          <w:highlight w:val="none"/>
        </w:rPr>
        <w:t xml:space="preserve"> р. № ______</w:t>
      </w:r>
      <w:r>
        <w:rPr>
          <w:rFonts w:hint="default" w:ascii="Times New Roman" w:hAnsi="Times New Roman" w:cs="Times New Roman"/>
          <w:b/>
          <w:sz w:val="28"/>
          <w:szCs w:val="28"/>
          <w:highlight w:val="none"/>
          <w:lang w:val="uk-UA"/>
        </w:rPr>
        <w:t>__</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Міський голова</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Т</w:t>
      </w:r>
      <w:r>
        <w:rPr>
          <w:rFonts w:hint="default" w:ascii="Times New Roman" w:hAnsi="Times New Roman" w:cs="Times New Roman"/>
          <w:b/>
          <w:sz w:val="28"/>
          <w:szCs w:val="28"/>
          <w:highlight w:val="none"/>
          <w:lang w:val="uk-UA"/>
        </w:rPr>
        <w:t xml:space="preserve">арас </w:t>
      </w:r>
      <w:r>
        <w:rPr>
          <w:rFonts w:ascii="Times New Roman" w:hAnsi="Times New Roman" w:cs="Times New Roman"/>
          <w:b/>
          <w:sz w:val="28"/>
          <w:szCs w:val="28"/>
          <w:highlight w:val="none"/>
        </w:rPr>
        <w:t>КУЧМА</w:t>
      </w: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before="120"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ПОЛОЖЕННЯ</w:t>
      </w:r>
    </w:p>
    <w:p>
      <w:pPr>
        <w:spacing w:before="120"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 xml:space="preserve">про сектор підтримки діяльності ради </w:t>
      </w:r>
    </w:p>
    <w:p>
      <w:pPr>
        <w:spacing w:before="120"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та виконавчих органів ради</w:t>
      </w:r>
    </w:p>
    <w:p>
      <w:pPr>
        <w:tabs>
          <w:tab w:val="left" w:pos="1418"/>
        </w:tabs>
        <w:spacing w:before="120"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управління правового забезпечення</w:t>
      </w:r>
    </w:p>
    <w:p>
      <w:pPr>
        <w:tabs>
          <w:tab w:val="left" w:pos="1418"/>
        </w:tabs>
        <w:spacing w:before="120"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виконавчого комітету Дрогобицької міської ради</w:t>
      </w:r>
    </w:p>
    <w:p>
      <w:pPr>
        <w:spacing w:after="0" w:line="240" w:lineRule="auto"/>
        <w:jc w:val="center"/>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rPr>
          <w:rFonts w:ascii="Times New Roman" w:hAnsi="Times New Roman" w:cs="Times New Roman"/>
          <w:b/>
          <w:sz w:val="28"/>
          <w:szCs w:val="28"/>
          <w:highlight w:val="none"/>
        </w:rPr>
      </w:pPr>
    </w:p>
    <w:p>
      <w:pPr>
        <w:spacing w:after="0" w:line="240" w:lineRule="auto"/>
        <w:jc w:val="center"/>
        <w:rPr>
          <w:rFonts w:hint="default" w:ascii="Times New Roman" w:hAnsi="Times New Roman" w:cs="Times New Roman"/>
          <w:b/>
          <w:sz w:val="28"/>
          <w:szCs w:val="28"/>
          <w:highlight w:val="none"/>
          <w:lang w:val="uk-UA"/>
        </w:rPr>
      </w:pPr>
      <w:r>
        <w:rPr>
          <w:rFonts w:ascii="Times New Roman" w:hAnsi="Times New Roman" w:cs="Times New Roman"/>
          <w:b/>
          <w:sz w:val="28"/>
          <w:szCs w:val="28"/>
          <w:highlight w:val="none"/>
        </w:rPr>
        <w:t>Дрогобич – 202</w:t>
      </w:r>
      <w:r>
        <w:rPr>
          <w:rFonts w:hint="default" w:ascii="Times New Roman" w:hAnsi="Times New Roman" w:cs="Times New Roman"/>
          <w:b/>
          <w:sz w:val="28"/>
          <w:szCs w:val="28"/>
          <w:highlight w:val="none"/>
          <w:lang w:val="uk-UA"/>
        </w:rPr>
        <w:t>3</w:t>
      </w: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br w:type="page"/>
      </w:r>
      <w:r>
        <w:rPr>
          <w:rFonts w:ascii="Times New Roman" w:hAnsi="Times New Roman" w:cs="Times New Roman"/>
          <w:b/>
          <w:sz w:val="28"/>
          <w:szCs w:val="28"/>
          <w:highlight w:val="none"/>
        </w:rPr>
        <w:t>1. Загальні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1.1. Сектор підтримки діяльності ради та виконавчих органів ради управління правового забезпечення виконавчого комітету Дрогобицької міської ради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(надалі – Сектор) є структурним підрозділом управління правового забезпечення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роботи спрямованої на правову підтримку діяльності міської ради та її виконавчих органів під час виконання покладених на них завдань і функціональних обов’язків. </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sz w:val="28"/>
          <w:szCs w:val="28"/>
          <w:highlight w:val="none"/>
        </w:rPr>
        <w:t>1.2. Сектор</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підтримки діяльності ради та виконавчих органів ради утворюється міською радою, є підзвітним та підконтрольним раді, підпорядкований її виконавчому комітету, міському голові, </w:t>
      </w:r>
      <w:r>
        <w:rPr>
          <w:rFonts w:ascii="Times New Roman" w:hAnsi="Times New Roman" w:cs="Times New Roman"/>
          <w:sz w:val="28"/>
          <w:szCs w:val="28"/>
          <w:highlight w:val="none"/>
        </w:rPr>
        <w:t>керуючому справами виконкому</w:t>
      </w:r>
      <w:r>
        <w:rPr>
          <w:rFonts w:ascii="Times New Roman" w:hAnsi="Times New Roman" w:cs="Times New Roman"/>
          <w:sz w:val="28"/>
          <w:szCs w:val="28"/>
          <w:highlight w:val="none"/>
        </w:rPr>
        <w:t>, підконтрольний та підпорядкований начальнику управління правового забезпечення виконавчого комітету Дрогобицької міської 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1.3. Сектор</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w:t>
      </w:r>
    </w:p>
    <w:p>
      <w:pPr>
        <w:spacing w:after="0" w:line="240" w:lineRule="auto"/>
        <w:jc w:val="both"/>
        <w:rPr>
          <w:rFonts w:ascii="Times New Roman" w:hAnsi="Times New Roman" w:cs="Times New Roman"/>
          <w:sz w:val="28"/>
          <w:szCs w:val="28"/>
          <w:highlight w:val="none"/>
        </w:rPr>
      </w:pPr>
    </w:p>
    <w:p>
      <w:pPr>
        <w:pStyle w:val="4"/>
        <w:spacing w:after="0" w:line="240" w:lineRule="auto"/>
        <w:ind w:left="284"/>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2. Основні завдання Сектору.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 Підготовка проектів рішень на сесію міської ради і на засідання виконавчого комітету міської ради, перевірка проектів рішень сесії і виконавчого комітету на відповідність чинному законодавству, надання зауважень та пропозицій.</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2.2. Участь у засіданнях сесій міської ради, засіданнях виконавчих органів та роботі комісій, створених при міській раді.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2.3. Надання юридичних консультації та правова взаємодія з депутатським корпусом та членами виконавчого комітету міської ради з питань здійснення ними своїх повноважень.</w:t>
      </w:r>
    </w:p>
    <w:p>
      <w:pPr>
        <w:pStyle w:val="4"/>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2.4. Участь у підготовці проектів розпоряджень міського голови, перевірка їх на відповідність вимогам законодавства, надання зауважень та пропозицій.</w:t>
      </w:r>
    </w:p>
    <w:p>
      <w:pPr>
        <w:tabs>
          <w:tab w:val="left" w:pos="1134"/>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2.5. Підготовка розпоряджень міського голови щодо зупинення рішень міської ради з відповідним обґрунтуванням зауважень.</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2.6. Перевірка дотримання законодавства виконавчими органами міської ради, її структурними підрозділами під час виконання ними своїх повноважень, та на підприємствах, закладах, установах, що належать до комунальної власності.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2.7.</w:t>
      </w:r>
      <w:r>
        <w:rPr>
          <w:rFonts w:ascii="Times New Roman" w:hAnsi="Times New Roman" w:cs="Times New Roman"/>
          <w:sz w:val="28"/>
          <w:szCs w:val="28"/>
          <w:highlight w:val="none"/>
        </w:rPr>
        <w:tab/>
      </w:r>
      <w:r>
        <w:rPr>
          <w:rFonts w:ascii="Times New Roman" w:hAnsi="Times New Roman" w:cs="Times New Roman"/>
          <w:sz w:val="28"/>
          <w:szCs w:val="28"/>
          <w:highlight w:val="none"/>
        </w:rPr>
        <w:t xml:space="preserve">Залучення відповідних спеціалістів для підготовки проектів нормативних та інших документів, а також для розробки і здійснення заходів, які проводяться Управлінням, відповідно до покладених на нього обов'язків.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2.8. Участь у засіданнях дорадчих і колегіальних органів, їх нарадах.</w:t>
      </w:r>
    </w:p>
    <w:p>
      <w:pPr>
        <w:pStyle w:val="4"/>
        <w:spacing w:after="0" w:line="240" w:lineRule="auto"/>
        <w:ind w:left="0"/>
        <w:jc w:val="both"/>
        <w:rPr>
          <w:rFonts w:ascii="Times New Roman" w:hAnsi="Times New Roman" w:cs="Times New Roman"/>
          <w:sz w:val="28"/>
          <w:szCs w:val="28"/>
          <w:highlight w:val="none"/>
          <w:lang w:eastAsia="uk-UA"/>
        </w:rPr>
      </w:pPr>
      <w:r>
        <w:rPr>
          <w:rFonts w:ascii="Times New Roman" w:hAnsi="Times New Roman" w:cs="Times New Roman"/>
          <w:sz w:val="28"/>
          <w:szCs w:val="28"/>
          <w:highlight w:val="none"/>
          <w:lang w:val="uk-UA"/>
        </w:rPr>
        <w:t xml:space="preserve">2.9. </w:t>
      </w:r>
      <w:r>
        <w:rPr>
          <w:rFonts w:ascii="Times New Roman" w:hAnsi="Times New Roman" w:cs="Times New Roman"/>
          <w:sz w:val="28"/>
          <w:szCs w:val="28"/>
          <w:highlight w:val="none"/>
        </w:rPr>
        <w:t>Правові консультації та підтримка діяльності старост</w:t>
      </w:r>
      <w:r>
        <w:rPr>
          <w:rFonts w:ascii="Times New Roman" w:hAnsi="Times New Roman" w:cs="Times New Roman"/>
          <w:sz w:val="28"/>
          <w:szCs w:val="28"/>
          <w:highlight w:val="none"/>
          <w:lang w:eastAsia="uk-UA"/>
        </w:rPr>
        <w:t>.</w:t>
      </w:r>
    </w:p>
    <w:p>
      <w:pPr>
        <w:tabs>
          <w:tab w:val="left" w:pos="1134"/>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2.10. Надання юридичних висновків з питань діяльності міської ради, її виконавчих органів та комунальних підприємств.</w:t>
      </w:r>
    </w:p>
    <w:p>
      <w:pPr>
        <w:pStyle w:val="4"/>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 xml:space="preserve">2.11. Моніторинг чинного законодавства на предмет змін та доповнень, що мають важливе значення для діяльності і належного функціонування органів місцевого самоврядування. Завчасне повідомлення про такі зміни </w:t>
      </w:r>
      <w:r>
        <w:rPr>
          <w:rFonts w:ascii="Times New Roman" w:hAnsi="Times New Roman" w:cs="Times New Roman"/>
          <w:sz w:val="28"/>
          <w:szCs w:val="28"/>
          <w:highlight w:val="none"/>
        </w:rPr>
        <w:t>міському голо</w:t>
      </w:r>
      <w:r>
        <w:rPr>
          <w:rFonts w:ascii="Times New Roman" w:hAnsi="Times New Roman" w:cs="Times New Roman"/>
          <w:sz w:val="28"/>
          <w:szCs w:val="28"/>
          <w:highlight w:val="none"/>
        </w:rPr>
        <w:t>ві, керуючом</w:t>
      </w:r>
      <w:r>
        <w:rPr>
          <w:rFonts w:ascii="Times New Roman" w:hAnsi="Times New Roman" w:cs="Times New Roman"/>
          <w:sz w:val="28"/>
          <w:szCs w:val="28"/>
          <w:highlight w:val="none"/>
        </w:rPr>
        <w:t xml:space="preserve">у справами виконкому, </w:t>
      </w:r>
      <w:r>
        <w:rPr>
          <w:rFonts w:hint="default" w:ascii="Times New Roman" w:hAnsi="Times New Roman" w:cs="Times New Roman"/>
          <w:sz w:val="28"/>
          <w:szCs w:val="28"/>
          <w:highlight w:val="none"/>
          <w:lang w:val="uk-UA"/>
        </w:rPr>
        <w:t xml:space="preserve">секретарю міської ради, </w:t>
      </w:r>
      <w:r>
        <w:rPr>
          <w:rFonts w:ascii="Times New Roman" w:hAnsi="Times New Roman" w:cs="Times New Roman"/>
          <w:sz w:val="28"/>
          <w:szCs w:val="28"/>
          <w:highlight w:val="none"/>
        </w:rPr>
        <w:t>начальнику управління правового забезпечення виконавчого комітету Дрогобицької міської ради</w:t>
      </w:r>
      <w:r>
        <w:rPr>
          <w:rFonts w:hint="default"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2</w:t>
      </w:r>
      <w:r>
        <w:rPr>
          <w:rFonts w:ascii="Times New Roman" w:hAnsi="Times New Roman" w:cs="Times New Roman"/>
          <w:sz w:val="28"/>
          <w:szCs w:val="28"/>
          <w:highlight w:val="none"/>
        </w:rPr>
        <w:t>. Здійснення договірно-правової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3</w:t>
      </w:r>
      <w:r>
        <w:rPr>
          <w:rFonts w:ascii="Times New Roman" w:hAnsi="Times New Roman" w:cs="Times New Roman"/>
          <w:sz w:val="28"/>
          <w:szCs w:val="28"/>
          <w:highlight w:val="none"/>
        </w:rPr>
        <w:t>. Представництво та захист інтересів міської ради, виконавчих органів в суді.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4</w:t>
      </w:r>
      <w:r>
        <w:rPr>
          <w:rFonts w:ascii="Times New Roman" w:hAnsi="Times New Roman" w:cs="Times New Roman"/>
          <w:sz w:val="28"/>
          <w:szCs w:val="28"/>
          <w:highlight w:val="none"/>
        </w:rPr>
        <w:t>. Розгляд заяв фізичних та юридичних осіб, надання аргументованих відповідей на них.</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5</w:t>
      </w:r>
      <w:r>
        <w:rPr>
          <w:rFonts w:ascii="Times New Roman" w:hAnsi="Times New Roman" w:cs="Times New Roman"/>
          <w:sz w:val="28"/>
          <w:szCs w:val="28"/>
          <w:highlight w:val="none"/>
        </w:rPr>
        <w:t>. Реєстрація вхідної та вихідної кореспонденції управління правового забезпечення.</w:t>
      </w:r>
    </w:p>
    <w:p>
      <w:pPr>
        <w:spacing w:after="0" w:line="240" w:lineRule="auto"/>
        <w:rPr>
          <w:rFonts w:ascii="Times New Roman" w:hAnsi="Times New Roman" w:cs="Times New Roman"/>
          <w:b/>
          <w:sz w:val="28"/>
          <w:szCs w:val="28"/>
          <w:highlight w:val="none"/>
        </w:rPr>
      </w:pPr>
    </w:p>
    <w:p>
      <w:pPr>
        <w:pStyle w:val="4"/>
        <w:spacing w:after="0" w:line="240" w:lineRule="auto"/>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3. Права Сектору.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3.1. Перевіряти додержання законності виконавчими органами міської ради та її структурними підрозділами, а також на підприємствах комунальної власності.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3.2. Отримувати від керівників та посадових осіб відповідних структурних підрозділів об</w:t>
      </w:r>
      <w:r>
        <w:rPr>
          <w:rFonts w:ascii="Times New Roman" w:hAnsi="Times New Roman" w:eastAsia="Times New Roman" w:cs="Times New Roman"/>
          <w:color w:val="222222"/>
          <w:sz w:val="28"/>
          <w:szCs w:val="28"/>
          <w:highlight w:val="none"/>
          <w:lang w:eastAsia="ru-RU"/>
        </w:rPr>
        <w:t>ґ</w:t>
      </w:r>
      <w:r>
        <w:rPr>
          <w:rFonts w:ascii="Times New Roman" w:hAnsi="Times New Roman" w:cs="Times New Roman"/>
          <w:sz w:val="28"/>
          <w:szCs w:val="28"/>
          <w:highlight w:val="none"/>
        </w:rPr>
        <w:t xml:space="preserve">рунтування (документи, пояснення) щодо поданих проектів рішень міської ради та виконавчого комітету міської ради, необхідні для виконання покладених на Сектор завдань.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3.3. Залучати за згодою керівника відповідного структурного підрозділу виконавчого комітету ради відповідних спеціалістів для підготовки проектів нормативних та інших документів, а також для розробки і здійснення заходів, які проводяться Сектором відповідно до покладених на нього обов'язків.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3.4. Вимагати обґрунтувань проектів нормативних документів від їх виконавців, попереднього погодження проектів керівниками відповідних відділів, управлінь та служб, посилань на норми законодавчих актів. </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4. Структура Сектору.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4.1. Структура та гранична чисельність Сектору затверджується Дрогобицькою міською радою за поданням міського голови. Штатний розпис Сектору затверджується розпорядженням міського голови.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4.2. Сектор очолює завідувач сектору,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4.3. Спеціалісти Сектору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4.4. Діяльність завідувача та працівників Сектору регламентується Положенням про управління правового забезпечення виконавчого комітету Дрогобицької міської ради, цим Положенням та їх посадовими інструкціями. Посадові інструкції начальника та працівників Сектору затвердж</w:t>
      </w:r>
      <w:r>
        <w:rPr>
          <w:rFonts w:ascii="Times New Roman" w:hAnsi="Times New Roman" w:cs="Times New Roman"/>
          <w:sz w:val="28"/>
          <w:szCs w:val="28"/>
          <w:highlight w:val="none"/>
        </w:rPr>
        <w:t xml:space="preserve">уються </w:t>
      </w:r>
      <w:r>
        <w:rPr>
          <w:rFonts w:ascii="Times New Roman" w:hAnsi="Times New Roman" w:cs="Times New Roman"/>
          <w:sz w:val="28"/>
          <w:szCs w:val="28"/>
          <w:highlight w:val="none"/>
        </w:rPr>
        <w:t>керуючим справами виконкому.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4.5. Завідувач та працівники Сектору безпосередньо підпорядковуються начальнику управління правового забезпечення виконавчого комітету Дрогобицької міської ради.</w:t>
      </w: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5. Організація роботи Сектору.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5.1. Організація роботи Сектору 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комітету Дрогобицької міської ради.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5.2. У Секторі періодично проводяться наради.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5.3. Контроль, перевірка діяльності Сектору</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здійснюється відповідно до діючого законодавства України.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5.4. Сектор при виконанні покладених на нього функцій взаємодіє з органами виконавчої влади, депутатами, постійними комісіями, тимчасовими контрольними комісіями та іншими органами, утвореними міською радою та виконавчими органами міської ради, місцевим органом державної статистики, а також підприємствами, організаціями, установами, об’єднаннями громадян, засобами масової інформації.</w:t>
      </w:r>
    </w:p>
    <w:p>
      <w:pPr>
        <w:spacing w:after="0" w:line="240" w:lineRule="auto"/>
        <w:jc w:val="both"/>
        <w:rPr>
          <w:rStyle w:val="5"/>
          <w:rFonts w:ascii="Times New Roman" w:hAnsi="Times New Roman" w:cs="Times New Roman"/>
          <w:sz w:val="28"/>
          <w:szCs w:val="28"/>
          <w:highlight w:val="none"/>
        </w:rPr>
      </w:pPr>
      <w:r>
        <w:rPr>
          <w:rStyle w:val="5"/>
          <w:rFonts w:ascii="Times New Roman" w:hAnsi="Times New Roman" w:cs="Times New Roman"/>
          <w:sz w:val="28"/>
          <w:szCs w:val="28"/>
          <w:highlight w:val="none"/>
        </w:rPr>
        <w:t xml:space="preserve">5.5. </w:t>
      </w:r>
      <w:r>
        <w:rPr>
          <w:rFonts w:ascii="Times New Roman" w:hAnsi="Times New Roman" w:cs="Times New Roman"/>
          <w:sz w:val="28"/>
          <w:szCs w:val="28"/>
          <w:highlight w:val="none"/>
        </w:rPr>
        <w:t xml:space="preserve">Завідувач </w:t>
      </w:r>
      <w:r>
        <w:rPr>
          <w:rStyle w:val="5"/>
          <w:rFonts w:ascii="Times New Roman" w:hAnsi="Times New Roman" w:cs="Times New Roman"/>
          <w:sz w:val="28"/>
          <w:szCs w:val="28"/>
          <w:highlight w:val="none"/>
        </w:rPr>
        <w:t xml:space="preserve">Сектору забезпечує взаємозамінність працівників у межах структури управління </w:t>
      </w:r>
      <w:r>
        <w:rPr>
          <w:rFonts w:ascii="Times New Roman" w:hAnsi="Times New Roman" w:cs="Times New Roman"/>
          <w:sz w:val="28"/>
          <w:szCs w:val="28"/>
          <w:highlight w:val="none"/>
        </w:rPr>
        <w:t>правового забезпечення виконавчого комітету Дрогобицької міської ради</w:t>
      </w:r>
      <w:r>
        <w:rPr>
          <w:rStyle w:val="5"/>
          <w:rFonts w:ascii="Times New Roman" w:hAnsi="Times New Roman" w:cs="Times New Roman"/>
          <w:sz w:val="28"/>
          <w:szCs w:val="28"/>
          <w:highlight w:val="none"/>
        </w:rPr>
        <w:t>. Спеціалісти Сектору повинні відповідати кваліфікаційним вимогам, які дозволяють їм забезпечити взаємозамінність працівників у межах структури управління.</w:t>
      </w:r>
    </w:p>
    <w:p>
      <w:pPr>
        <w:spacing w:after="0" w:line="240" w:lineRule="auto"/>
        <w:jc w:val="both"/>
        <w:rPr>
          <w:rFonts w:ascii="Times New Roman" w:hAnsi="Times New Roman" w:cs="Times New Roman"/>
          <w:sz w:val="28"/>
          <w:szCs w:val="28"/>
          <w:highlight w:val="none"/>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b/>
          <w:bCs/>
          <w:sz w:val="28"/>
          <w:szCs w:val="28"/>
          <w:highlight w:val="none"/>
          <w:lang w:eastAsia="ru-RU"/>
        </w:rPr>
        <w:t>6. Відповідальність працівників Сектору.</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6.1. Працівники Сектору зобов’язані дотримуватись законодавства України, вимог </w:t>
      </w:r>
      <w:r>
        <w:rPr>
          <w:rFonts w:ascii="Times New Roman" w:hAnsi="Times New Roman" w:cs="Times New Roman"/>
          <w:sz w:val="28"/>
          <w:szCs w:val="28"/>
          <w:highlight w:val="none"/>
        </w:rPr>
        <w:t>Положенням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highlight w:val="none"/>
        </w:rPr>
        <w:t xml:space="preserve">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pPr>
        <w:pStyle w:val="4"/>
        <w:shd w:val="clear" w:color="auto" w:fill="FFFFFF"/>
        <w:tabs>
          <w:tab w:val="left" w:pos="426"/>
        </w:tabs>
        <w:spacing w:after="0" w:line="240" w:lineRule="auto"/>
        <w:ind w:left="0" w:right="24"/>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6.2. Працівники Сектору несуть відповідальність за: </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порушення термінів та порядку підготовки документів;</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за порушення термінів та порядку виконання рішень міської ради, виконавчого комітету та розпоряджень міського голови;</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невиконання плану структурного підрозділу за звітний період, обов’язків та доручень </w:t>
      </w:r>
      <w:r>
        <w:rPr>
          <w:rFonts w:ascii="Times New Roman" w:hAnsi="Times New Roman" w:cs="Times New Roman"/>
          <w:bCs/>
          <w:spacing w:val="-5"/>
          <w:sz w:val="28"/>
          <w:szCs w:val="28"/>
          <w:highlight w:val="none"/>
          <w:lang w:val="uk-UA"/>
        </w:rPr>
        <w:t>начальника</w:t>
      </w:r>
      <w:r>
        <w:rPr>
          <w:rFonts w:hint="default" w:ascii="Times New Roman" w:hAnsi="Times New Roman" w:cs="Times New Roman"/>
          <w:bCs/>
          <w:spacing w:val="-5"/>
          <w:sz w:val="28"/>
          <w:szCs w:val="28"/>
          <w:highlight w:val="none"/>
          <w:lang w:val="uk-UA"/>
        </w:rPr>
        <w:t xml:space="preserve"> управління</w:t>
      </w:r>
      <w:r>
        <w:rPr>
          <w:rFonts w:ascii="Times New Roman" w:hAnsi="Times New Roman" w:cs="Times New Roman"/>
          <w:bCs/>
          <w:spacing w:val="-5"/>
          <w:sz w:val="28"/>
          <w:szCs w:val="28"/>
          <w:highlight w:val="none"/>
          <w:lang w:val="uk-UA"/>
        </w:rPr>
        <w:t>;</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безпідставне порушення правил трудової дисципліни;</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невиконання доручень міського голови та заступників міського голови без поважних причин;</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sz w:val="28"/>
          <w:szCs w:val="28"/>
          <w:highlight w:val="none"/>
        </w:rPr>
        <w:t>інші порушення трудової та виконавської дисципліни.</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6.3. За повторне невиконання доручень міського голови та заступників міського голови без поважних причин працівники Сектору можуть бути депремійовані та/або на них може бути накладено дисциплінарне стягнення. </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7. Заключні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7.1. Ліквідація і реорганізація Сектору здійснюється міською радою відповідно до вимог чинного законодавства.</w:t>
      </w:r>
    </w:p>
    <w:p>
      <w:pPr>
        <w:spacing w:after="0" w:line="240" w:lineRule="auto"/>
        <w:jc w:val="both"/>
        <w:rPr>
          <w:rFonts w:ascii="Times New Roman" w:hAnsi="Times New Roman" w:cs="Times New Roman"/>
          <w:sz w:val="28"/>
          <w:szCs w:val="28"/>
          <w:highlight w:val="none"/>
        </w:rPr>
      </w:pPr>
      <w:r>
        <w:rPr>
          <w:rFonts w:ascii="Times New Roman" w:hAnsi="Times New Roman" w:eastAsia="Times New Roman" w:cs="Times New Roman"/>
          <w:sz w:val="28"/>
          <w:szCs w:val="28"/>
          <w:highlight w:val="none"/>
          <w:lang w:eastAsia="ru-RU"/>
        </w:rPr>
        <w:t>7.2. Зміни і доповнення до даного Положення вносяться лише у письмовій формі в порядку, встановленому чинним законодавством, шляхом викладення Положення в новій редакції та затвердженням Положення міською радою.</w:t>
      </w: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r>
        <w:rPr>
          <w:rFonts w:ascii="Times New Roman" w:hAnsi="Times New Roman" w:cs="Times New Roman"/>
          <w:b/>
          <w:sz w:val="28"/>
          <w:szCs w:val="28"/>
          <w:highlight w:val="none"/>
        </w:rPr>
        <w:t>Керуючий справами виконкому</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w:t>
      </w:r>
      <w:r>
        <w:rPr>
          <w:rFonts w:ascii="Times New Roman" w:hAnsi="Times New Roman" w:cs="Times New Roman"/>
          <w:b/>
          <w:sz w:val="28"/>
          <w:szCs w:val="28"/>
          <w:highlight w:val="none"/>
          <w:lang w:val="uk-UA"/>
        </w:rPr>
        <w:t>італій</w:t>
      </w:r>
      <w:r>
        <w:rPr>
          <w:rFonts w:hint="default" w:ascii="Times New Roman" w:hAnsi="Times New Roman" w:cs="Times New Roman"/>
          <w:b/>
          <w:sz w:val="28"/>
          <w:szCs w:val="28"/>
          <w:highlight w:val="none"/>
          <w:lang w:val="uk-UA"/>
        </w:rPr>
        <w:t xml:space="preserve"> ВОВКІВ</w:t>
      </w: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rFonts w:ascii="Times New Roman" w:hAnsi="Times New Roman" w:cs="Times New Roman"/>
          <w:sz w:val="28"/>
          <w:szCs w:val="28"/>
          <w:highlight w:val="none"/>
        </w:rPr>
      </w:pPr>
    </w:p>
    <w:p>
      <w:pPr>
        <w:spacing w:after="0" w:line="240" w:lineRule="auto"/>
        <w:rPr>
          <w:highlight w:val="none"/>
        </w:rPr>
      </w:pPr>
    </w:p>
    <w:bookmarkEnd w:id="0"/>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37F45"/>
    <w:multiLevelType w:val="multilevel"/>
    <w:tmpl w:val="29F37F45"/>
    <w:lvl w:ilvl="0" w:tentative="0">
      <w:start w:val="6"/>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8B"/>
    <w:rsid w:val="000666AF"/>
    <w:rsid w:val="00086F11"/>
    <w:rsid w:val="00221BB6"/>
    <w:rsid w:val="002623AD"/>
    <w:rsid w:val="002729F3"/>
    <w:rsid w:val="0028796D"/>
    <w:rsid w:val="00301DAC"/>
    <w:rsid w:val="00382E5F"/>
    <w:rsid w:val="003E09AA"/>
    <w:rsid w:val="004616DE"/>
    <w:rsid w:val="004C3143"/>
    <w:rsid w:val="005806D4"/>
    <w:rsid w:val="00592CAC"/>
    <w:rsid w:val="005F75B4"/>
    <w:rsid w:val="007A64BF"/>
    <w:rsid w:val="007C4197"/>
    <w:rsid w:val="007C6BCB"/>
    <w:rsid w:val="008108A2"/>
    <w:rsid w:val="0082507D"/>
    <w:rsid w:val="0084077B"/>
    <w:rsid w:val="00847C1A"/>
    <w:rsid w:val="00866279"/>
    <w:rsid w:val="008C4A17"/>
    <w:rsid w:val="008F0DF1"/>
    <w:rsid w:val="00923DEC"/>
    <w:rsid w:val="0093217C"/>
    <w:rsid w:val="009562DA"/>
    <w:rsid w:val="00985C17"/>
    <w:rsid w:val="00A52819"/>
    <w:rsid w:val="00A92A9B"/>
    <w:rsid w:val="00AC4296"/>
    <w:rsid w:val="00AF491B"/>
    <w:rsid w:val="00B5732C"/>
    <w:rsid w:val="00BD798C"/>
    <w:rsid w:val="00C0565F"/>
    <w:rsid w:val="00C23BFC"/>
    <w:rsid w:val="00C51DFA"/>
    <w:rsid w:val="00CC2CF7"/>
    <w:rsid w:val="00CD6ED5"/>
    <w:rsid w:val="00CE3828"/>
    <w:rsid w:val="00D43437"/>
    <w:rsid w:val="00D53580"/>
    <w:rsid w:val="00DD768B"/>
    <w:rsid w:val="00DE472A"/>
    <w:rsid w:val="00E07DC5"/>
    <w:rsid w:val="00EC289A"/>
    <w:rsid w:val="00F15A27"/>
    <w:rsid w:val="00F455A2"/>
    <w:rsid w:val="00F4678A"/>
    <w:rsid w:val="00F56383"/>
    <w:rsid w:val="00F83A42"/>
    <w:rsid w:val="00F9091B"/>
    <w:rsid w:val="0ED85EA6"/>
    <w:rsid w:val="16575603"/>
    <w:rsid w:val="3A771C78"/>
    <w:rsid w:val="406C4BC1"/>
    <w:rsid w:val="490C3E65"/>
    <w:rsid w:val="593D508D"/>
    <w:rsid w:val="7EBB44F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rPr>
      <w:lang w:val="ru-RU"/>
    </w:rPr>
  </w:style>
  <w:style w:type="character" w:customStyle="1" w:styleId="5">
    <w:name w:val="docdata"/>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DMR</Company>
  <Pages>5</Pages>
  <Words>1300</Words>
  <Characters>7416</Characters>
  <Lines>61</Lines>
  <Paragraphs>17</Paragraphs>
  <TotalTime>2</TotalTime>
  <ScaleCrop>false</ScaleCrop>
  <LinksUpToDate>false</LinksUpToDate>
  <CharactersWithSpaces>8699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2021-02-08T12:43:00Z</dcterms:created>
  <dc:creator>User</dc:creator>
  <cp:lastModifiedBy>User</cp:lastModifiedBy>
  <dcterms:modified xsi:type="dcterms:W3CDTF">2023-09-07T13:50:47Z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3452289075E74176A92F5E08717F3FDC</vt:lpwstr>
  </property>
</Properties>
</file>