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>Додаток до рішення</w:t>
      </w:r>
    </w:p>
    <w:p>
      <w:pPr>
        <w:pStyle w:val="8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</w:t>
      </w:r>
      <w:r>
        <w:rPr>
          <w:rFonts w:ascii="Times New Roman" w:hAnsi="Times New Roman" w:cs="Times New Roman"/>
          <w:sz w:val="32"/>
          <w:lang w:val="en-US"/>
        </w:rPr>
        <w:t>XLV</w:t>
      </w:r>
      <w:r>
        <w:rPr>
          <w:sz w:val="32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сесії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VIII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скликання </w:t>
      </w:r>
    </w:p>
    <w:p>
      <w:pPr>
        <w:pStyle w:val="8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Дрогобицької міської ради</w:t>
      </w:r>
    </w:p>
    <w:p>
      <w:pPr>
        <w:pStyle w:val="8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«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21</w:t>
      </w:r>
      <w:r>
        <w:rPr>
          <w:rFonts w:ascii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грудня </w:t>
      </w:r>
      <w:r>
        <w:rPr>
          <w:rFonts w:ascii="Times New Roman" w:hAnsi="Times New Roman" w:cs="Times New Roman"/>
          <w:sz w:val="28"/>
          <w:szCs w:val="28"/>
          <w:lang w:eastAsia="uk-UA"/>
        </w:rPr>
        <w:t>2023 р. №  2058</w:t>
      </w:r>
    </w:p>
    <w:p>
      <w:pPr>
        <w:pStyle w:val="8"/>
        <w:jc w:val="center"/>
        <w:rPr>
          <w:rFonts w:ascii="Times New Roman" w:hAnsi="Times New Roman" w:cs="Times New Roman"/>
          <w:b/>
          <w:sz w:val="32"/>
          <w:szCs w:val="32"/>
          <w:lang w:eastAsia="uk-UA"/>
        </w:rPr>
      </w:pPr>
    </w:p>
    <w:p>
      <w:pPr>
        <w:pStyle w:val="8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Програма фінансування комунальної установи «Дрогобицький</w:t>
      </w:r>
      <w:r>
        <w:rPr>
          <w:rFonts w:ascii="Times New Roman" w:hAnsi="Times New Roman" w:cs="Times New Roman"/>
          <w:b/>
          <w:bCs/>
          <w:sz w:val="32"/>
          <w:szCs w:val="28"/>
        </w:rPr>
        <w:t xml:space="preserve"> медичний інформаційно-аналітичний центр» Дрогобицької міської ради на 2024 рік</w:t>
      </w:r>
    </w:p>
    <w:p>
      <w:pPr>
        <w:pStyle w:val="8"/>
        <w:jc w:val="center"/>
        <w:rPr>
          <w:rFonts w:ascii="Times New Roman" w:hAnsi="Times New Roman" w:cs="Times New Roman"/>
          <w:b/>
          <w:sz w:val="32"/>
          <w:szCs w:val="28"/>
          <w:lang w:eastAsia="uk-UA"/>
        </w:rPr>
      </w:pPr>
    </w:p>
    <w:p>
      <w:pPr>
        <w:pStyle w:val="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ЗАГАЛЬНІ ПОЛОЖЕННЯ</w:t>
      </w:r>
    </w:p>
    <w:p>
      <w:pPr>
        <w:pStyle w:val="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>
      <w:pPr>
        <w:pStyle w:val="8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Програма з організації </w:t>
      </w:r>
      <w:r>
        <w:rPr>
          <w:rFonts w:ascii="Times New Roman" w:hAnsi="Times New Roman" w:cs="Times New Roman"/>
          <w:bCs/>
          <w:sz w:val="28"/>
          <w:szCs w:val="28"/>
        </w:rPr>
        <w:t>фінансування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 функціонування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комунальної установи «Дрогобицький медичний інформаційно-аналітичний центр» Дрогобицької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(далі Програма) 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визначає правові, організаційні і фінансові основи </w:t>
      </w:r>
      <w:r>
        <w:rPr>
          <w:rFonts w:ascii="Times New Roman" w:hAnsi="Times New Roman" w:cs="Times New Roman"/>
          <w:bCs/>
          <w:sz w:val="28"/>
          <w:szCs w:val="28"/>
        </w:rPr>
        <w:t>фінансування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 функціонування </w:t>
      </w:r>
      <w:r>
        <w:rPr>
          <w:rFonts w:ascii="Times New Roman" w:hAnsi="Times New Roman" w:cs="Times New Roman"/>
          <w:bCs/>
          <w:sz w:val="28"/>
          <w:szCs w:val="28"/>
        </w:rPr>
        <w:t>комунальної установи «Дрогобицький медичний інформаційно-аналітичний центр» Дрогобицької міської ради (далі Центр)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. Програма розроблена відповідно до Закону України «Про місцеве самоврядування в Україні», Закону України «Про державні цільові програми»,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Законом України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Основи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законодавства України про охорону здоров'я», ст.ст. 87, 89 Цивільного кодексу України, Наказів Міністерства охорони здоров'я України від </w:t>
      </w:r>
      <w:r>
        <w:rPr>
          <w:rFonts w:ascii="Times New Roman" w:hAnsi="Times New Roman" w:cs="Times New Roman"/>
          <w:sz w:val="28"/>
          <w:szCs w:val="28"/>
        </w:rPr>
        <w:t xml:space="preserve">21.05.1998 № 127 «Про створення Єдиного інформаційного поля системи охорони здоров'я України», від 02.12.2004 № 592 «Про подальше вдосконалення служби медичної статистики» 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та керуючись рішенням Х</w:t>
      </w:r>
      <w:r>
        <w:rPr>
          <w:rFonts w:ascii="Times New Roman" w:hAnsi="Times New Roman" w:eastAsia="Times New Roman" w:cs="Times New Roman"/>
          <w:sz w:val="28"/>
          <w:szCs w:val="28"/>
          <w:lang w:val="en-US" w:eastAsia="uk-UA"/>
        </w:rPr>
        <w:t>L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 сесії Дрогобицької міської ради восьмого скликання від 20.07.2023 № 1779 «Про створення комунальної установи </w:t>
      </w:r>
      <w:r>
        <w:rPr>
          <w:rFonts w:ascii="Times New Roman" w:hAnsi="Times New Roman" w:cs="Times New Roman"/>
          <w:bCs/>
          <w:sz w:val="28"/>
          <w:szCs w:val="28"/>
        </w:rPr>
        <w:t>«Дрогобицький медичний інформаційно-аналітичний центр» Дрогобицької міської ради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».</w:t>
      </w:r>
    </w:p>
    <w:p>
      <w:pPr>
        <w:pStyle w:val="8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Програма розроблена із врахуванням вимог вказаних вище нормативних актів та спрямована на підтримку функціонування Центру.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Реформування галузі охорони здоров’я громади, здійснення належного обсягу надання медичної допомоги населенню Дрогобицької міської територіальної громади вимагає суттєвого покращання. Існуючі проблеми охорони здоров’я є непростими для вирішення, мають багатоаспектний комплексний характер, що обумовлює необхідність оновлення підходів до охорони здоров’я, розробки і реалізації нових стратегій та програм.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Покращення якості надання медичної допомоги можливе лише за умови продовження початих заходів реформування медичної галузі та впровадження нових інноваційних підходів в управлінні.</w:t>
      </w:r>
    </w:p>
    <w:p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Зміни в державній політиці фінансування медичної галузі, знайшли відображення в Бюджетному кодексі України, згідно якого, фінансування заходів, установ, організацій, відмінних від державних закладів охорони здоров'я та комунальних некомерційних підприємств охорони здоров'я, переклалось на місцеві міські бюджети а саме у вигляді затвердженої Дрогобицькою міською радою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Програми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8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>
      <w:pPr>
        <w:pStyle w:val="8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2. МЕТА ТА ЗАВДАННЯ ПРОГРАМИ </w:t>
      </w:r>
    </w:p>
    <w:p>
      <w:pPr>
        <w:pStyle w:val="8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Метою Програми є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рганізація діяльності Центру, його розвиток та функціонування.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Комунальна установа «Дрогобицький медичний інформаційно-аналітичний центр» Дрогобицької міської ради є комунальною установою, що здійснює реалізацію державної політики в сфері охорони здоров'я, служби медичної статистики та інформатизації галузі охорони здоров’я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підпорядкованих відділу охорони здоров'я виконавчих органів Дрогобицької міської ради закладів охорони </w:t>
      </w:r>
      <w:r>
        <w:rPr>
          <w:rFonts w:ascii="Times New Roman" w:hAnsi="Times New Roman" w:cs="Times New Roman"/>
          <w:sz w:val="28"/>
          <w:szCs w:val="28"/>
        </w:rPr>
        <w:t>на території населених пунктів, що входять до складу Дрогобицької міської територіальної громади.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Власником Центру є Дрогобицька міська територіальна громада в особі Дрогобицької міської ради Львівської області (далі – Власник).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Органом, за яким закріплено функції управління Центру є відділ охорони здоров’я виконавчих органів Дрогобицької міської ради (далі – Уповноважений орган управління).</w:t>
      </w:r>
    </w:p>
    <w:p>
      <w:pPr>
        <w:pStyle w:val="8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Метою Програми є фінансове забезпечення господарської діяльності Центру </w:t>
      </w:r>
      <w:r>
        <w:rPr>
          <w:rFonts w:ascii="Times New Roman" w:hAnsi="Times New Roman" w:cs="Times New Roman"/>
          <w:sz w:val="28"/>
          <w:szCs w:val="28"/>
          <w:lang w:eastAsia="uk-UA"/>
        </w:rPr>
        <w:t>у відповідності до вимог чинного законодавства та прав, передбачених в Статуті Центру.</w:t>
      </w:r>
    </w:p>
    <w:p>
      <w:pPr>
        <w:pStyle w:val="8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Метою Програми є фінансування Центру за наступними напрямками:</w:t>
      </w:r>
    </w:p>
    <w:p>
      <w:pPr>
        <w:pStyle w:val="8"/>
        <w:numPr>
          <w:ilvl w:val="0"/>
          <w:numId w:val="2"/>
        </w:numPr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виконання статутних завдань Центру;</w:t>
      </w:r>
    </w:p>
    <w:p>
      <w:pPr>
        <w:pStyle w:val="8"/>
        <w:numPr>
          <w:ilvl w:val="0"/>
          <w:numId w:val="2"/>
        </w:numPr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оплати праці та соціальних заходів для працівників Центру;</w:t>
      </w:r>
    </w:p>
    <w:p>
      <w:pPr>
        <w:pStyle w:val="8"/>
        <w:numPr>
          <w:ilvl w:val="0"/>
          <w:numId w:val="2"/>
        </w:numPr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придбання Центром обладнання, інвентарю та матеріальних цінностей, іншого майна та майнових прав, нематеріальних та інших активів;</w:t>
      </w:r>
    </w:p>
    <w:p>
      <w:pPr>
        <w:pStyle w:val="8"/>
        <w:numPr>
          <w:ilvl w:val="0"/>
          <w:numId w:val="2"/>
        </w:numPr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сплату послуг, та на інші цілі для забезпечення діяльності Центру.</w:t>
      </w:r>
    </w:p>
    <w:p>
      <w:pPr>
        <w:pStyle w:val="8"/>
        <w:ind w:left="720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</w:p>
    <w:p>
      <w:pPr>
        <w:pStyle w:val="8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  <w:t>3. ОБҐРУНТУВАННЯ ШЛЯХІВ, ОБСЯГІВ ТА ДЖЕРЕЛ ФІНАНСУВАННЯ</w:t>
      </w:r>
    </w:p>
    <w:p>
      <w:pPr>
        <w:pStyle w:val="8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</w:p>
    <w:p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Програма реалізується відповідно до основних заходів та обсягу коштів, які виділені на їх виконання, згідно з ресурсним забезпеченням напрямків діяльності та заходів у 2024 році.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з урахуванням коштів, що виділяються на виконання Програми, уточнює заходи, проміжні строки їх здійснення та обсяги фінансування.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 уточнюється та коригується у процесі виконання з урахуванням стану фінансування. Обсяги коштів, необхідних для виконання заходів, передбачених програмою на наступний рік, щорічно виносяться на затвердження сесії міської ради, в межах можливості бюджету.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Фінансування Програми здійснюється відповідно до діючого законодавства за рахунок коштів міського бюджету за кодами програмної класифікації видатків та кредитування місцевих бюджетів та визначається у рішенні «Про міський бюджет» на відповідний рік.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реалізації завдань Програми надаються фінансові ресурси Центру, як одержувачу бюджетних коштів, Дрогобицької міської ради, за рахунок коштів, запланованих у міському бюджеті на 2024 рік: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Джерелами фінансування Центру є: 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Кошти бюджету Дрогобицької міської територіальної громади.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Фінансування Центру проводиться </w:t>
      </w:r>
      <w:r>
        <w:rPr>
          <w:rFonts w:ascii="Times New Roman" w:hAnsi="Times New Roman" w:cs="Times New Roman"/>
          <w:sz w:val="28"/>
          <w:szCs w:val="28"/>
        </w:rPr>
        <w:t xml:space="preserve">через затвердження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Програми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 метою реалізації усіх завдань, які виконує Центр згідно затверджених положень Статуту. 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Обсяги фінансування подані в додатку 1.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року обсяг фінансування Програми за рахунок надходжень коштів бюджету міста може змінюватись відповідно до рішення Дрогобицької міської ради про внесення змін до бюджету Дрогобицької міської територіальної громади.</w:t>
      </w:r>
    </w:p>
    <w:p>
      <w:pPr>
        <w:spacing w:line="240" w:lineRule="auto"/>
        <w:ind w:firstLine="708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</w:p>
    <w:p>
      <w:pPr>
        <w:spacing w:line="240" w:lineRule="auto"/>
        <w:ind w:firstLine="708"/>
        <w:jc w:val="center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  <w:t>4. СТРОКИ ТА ЕТАПИ ВИКОНАННЯ ПРОГРАМИ</w:t>
      </w:r>
    </w:p>
    <w:p>
      <w:pPr>
        <w:spacing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Заходи програми реалізуються протягом 2024 року.</w:t>
      </w:r>
    </w:p>
    <w:p>
      <w:pPr>
        <w:spacing w:line="240" w:lineRule="auto"/>
        <w:ind w:firstLine="708"/>
        <w:jc w:val="center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  <w:t>5. ПЕРЕЛІК ЗАХОДІВ ПРОГРАМИ ТА РЕЗУЛЬТАТИВНІ ПОКАЗНИКИ ЇЇ ВИКОНАННЯ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Заходами на які спрямована Програма є: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Бюджетне фінансування та власні надходження Центру зараховуються на рахунки, відкриті в органах Державної казначейської служби. Отримані кошти використовуються згідно та в межах з затвердженими кошторисними призначеннями на основі плану використання коштів. 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Здійснення оперативної діяльності по матеріально-технічному забезпеченню роботи Центру. 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Здійснення за погодження Уповноваженого органу управління, придбання матеріальних ресурсів у підприємств, організацій та установ незалежно від форм власності, а також у фізичних осіб. 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Створення належних умов для високопродуктивної праці, забезпечення додержання чинного законодавства про працю, правил та норм охорони праці, техніки безпеки, соціального страхування. 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здійснення господарської діяльності Центр може залучати і використовувати матеріально-технічні, фінансові, трудові та інші види ресурсів, використання яких не заборонено чинним законодавством України. </w:t>
      </w:r>
    </w:p>
    <w:p>
      <w:pPr>
        <w:spacing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Організаційне забезпечення виконання Програми здійснює відділ охорони здоров’я виконавчих органів Дрогобицької міської ради. Відповідальним виконавцем призначити директора Центру.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284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відділу охорони здоров’я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Володимир ЧУБА</w:t>
      </w:r>
      <w:r>
        <w:rPr>
          <w:szCs w:val="28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uk-UA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uk-UA"/>
        </w:rPr>
        <w:t>ПАСПОРТ</w:t>
      </w:r>
    </w:p>
    <w:p>
      <w:pPr>
        <w:pStyle w:val="8"/>
        <w:jc w:val="center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Програми фінансування комунальної установи «Дрогобицький</w:t>
      </w:r>
      <w:r>
        <w:rPr>
          <w:rFonts w:ascii="Times New Roman" w:hAnsi="Times New Roman" w:cs="Times New Roman"/>
          <w:b/>
          <w:bCs/>
          <w:sz w:val="32"/>
          <w:szCs w:val="28"/>
        </w:rPr>
        <w:t xml:space="preserve"> медичний інформаційно-аналітичний центр» Дрогобицької міської ради на </w:t>
      </w:r>
      <w:r>
        <w:rPr>
          <w:rFonts w:ascii="Times New Roman" w:hAnsi="Times New Roman" w:eastAsia="Times New Roman" w:cs="Times New Roman"/>
          <w:b/>
          <w:bCs/>
          <w:sz w:val="32"/>
          <w:szCs w:val="36"/>
          <w:lang w:eastAsia="uk-UA"/>
        </w:rPr>
        <w:t>2024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uk-UA"/>
        </w:rPr>
        <w:t xml:space="preserve"> рік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  <w:t>.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</w:p>
    <w:tbl>
      <w:tblPr>
        <w:tblStyle w:val="3"/>
        <w:tblW w:w="0" w:type="auto"/>
        <w:tblCellSpacing w:w="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0"/>
        <w:gridCol w:w="47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>1. Розробник Програми: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 xml:space="preserve">Відділ охорони здоров’я виконавчих органів Дрогобицької міської ради, комунальна установа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«Дрогобицький медичний інформаційно-аналітичний центр»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Дрогобицької міської ради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>2. Відповідальні виконавці Програми: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 xml:space="preserve">Комунальна установа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«Дрогобицький медичний інформаційно-аналітичний центр»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Дрогобицької міської ради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 Учасники Програми: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Відділ охорони здоров’я виконавчих органів ДМР, к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 xml:space="preserve">омунальна установа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«Дрогобицький медичний інформаційно-аналітичний центр»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Дрогобицької міської ради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 Терміни реалізації Програми: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2024 рік.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 Загальний обсяг фінансових ресурсів, необхідних для реалізації Програми, усього, у тому числі: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4440,8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тис. грн.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</w:p>
    <w:p>
      <w:pPr>
        <w:pStyle w:val="8"/>
        <w:rPr>
          <w:rFonts w:ascii="Times New Roman" w:hAnsi="Times New Roman" w:cs="Times New Roman"/>
          <w:b/>
          <w:sz w:val="32"/>
          <w:szCs w:val="32"/>
          <w:lang w:eastAsia="uk-UA"/>
        </w:rPr>
        <w:sectPr>
          <w:pgSz w:w="11906" w:h="16838"/>
          <w:pgMar w:top="709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line="240" w:lineRule="auto"/>
        <w:ind w:left="7380"/>
        <w:jc w:val="right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Додаток 1</w:t>
      </w:r>
    </w:p>
    <w:p>
      <w:pPr>
        <w:pStyle w:val="8"/>
        <w:jc w:val="center"/>
        <w:rPr>
          <w:rFonts w:ascii="Times New Roman" w:hAnsi="Times New Roman" w:cs="Times New Roman"/>
          <w:b/>
          <w:sz w:val="32"/>
          <w:szCs w:val="32"/>
          <w:lang w:eastAsia="uk-UA"/>
        </w:rPr>
      </w:pPr>
      <w:r>
        <w:rPr>
          <w:rFonts w:ascii="Times New Roman" w:hAnsi="Times New Roman" w:cs="Times New Roman"/>
          <w:b/>
          <w:sz w:val="32"/>
          <w:szCs w:val="32"/>
          <w:lang w:eastAsia="uk-UA"/>
        </w:rPr>
        <w:t>РЕСУРСНЕ ЗАБЕЗПЕЧЕННЯ ПРОГРАМИ</w:t>
      </w:r>
    </w:p>
    <w:p>
      <w:pPr>
        <w:shd w:val="clear" w:color="auto" w:fill="FFFFFF"/>
        <w:spacing w:after="0" w:line="390" w:lineRule="atLeast"/>
        <w:ind w:right="-1" w:firstLine="708"/>
        <w:jc w:val="center"/>
        <w:outlineLvl w:val="2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фінансування</w:t>
      </w:r>
      <w:r>
        <w:rPr>
          <w:rFonts w:ascii="Times New Roman" w:hAnsi="Times New Roman" w:eastAsia="Times New Roman" w:cs="Times New Roman"/>
          <w:b/>
          <w:sz w:val="32"/>
          <w:szCs w:val="32"/>
          <w:lang w:eastAsia="uk-UA"/>
        </w:rPr>
        <w:t xml:space="preserve"> комунальної установи </w:t>
      </w:r>
      <w:r>
        <w:rPr>
          <w:rFonts w:ascii="Times New Roman" w:hAnsi="Times New Roman" w:cs="Times New Roman"/>
          <w:b/>
          <w:sz w:val="32"/>
          <w:szCs w:val="32"/>
          <w:lang w:eastAsia="uk-UA"/>
        </w:rPr>
        <w:t>«Дрогобицький медичний інформаційно-аналітичний центр»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Дрогобицької міської ради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uk-UA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  <w:t>на 2024рік.</w:t>
      </w:r>
    </w:p>
    <w:p>
      <w:pPr>
        <w:shd w:val="clear" w:color="auto" w:fill="FFFFFF"/>
        <w:spacing w:after="0" w:line="390" w:lineRule="atLeast"/>
        <w:ind w:right="-1" w:firstLine="708"/>
        <w:jc w:val="center"/>
        <w:outlineLvl w:val="2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</w:p>
    <w:tbl>
      <w:tblPr>
        <w:tblStyle w:val="3"/>
        <w:tblW w:w="15760" w:type="dxa"/>
        <w:tblCellSpacing w:w="0" w:type="dxa"/>
        <w:tblInd w:w="2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5"/>
        <w:gridCol w:w="4287"/>
        <w:gridCol w:w="4591"/>
        <w:gridCol w:w="426"/>
        <w:gridCol w:w="283"/>
        <w:gridCol w:w="284"/>
        <w:gridCol w:w="7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27" w:type="dxa"/>
          <w:trHeight w:val="1073" w:hRule="atLeast"/>
          <w:tblCellSpacing w:w="0" w:type="dxa"/>
        </w:trPr>
        <w:tc>
          <w:tcPr>
            <w:tcW w:w="51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before="100" w:after="10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uk-UA"/>
              </w:rPr>
              <w:t xml:space="preserve">Обсяг коштів, які пропонується залучити на виконання Програми </w:t>
            </w:r>
          </w:p>
        </w:tc>
        <w:tc>
          <w:tcPr>
            <w:tcW w:w="4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before="100" w:after="10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uk-UA"/>
              </w:rPr>
              <w:t xml:space="preserve">Строки виконання Програми </w:t>
            </w:r>
          </w:p>
        </w:tc>
        <w:tc>
          <w:tcPr>
            <w:tcW w:w="4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before="100" w:after="10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uk-UA"/>
              </w:rPr>
              <w:t xml:space="preserve">Усього витрат на виконання Програми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27" w:type="dxa"/>
          <w:trHeight w:val="509" w:hRule="atLeast"/>
          <w:tblCellSpacing w:w="0" w:type="dxa"/>
        </w:trPr>
        <w:tc>
          <w:tcPr>
            <w:tcW w:w="51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uk-UA"/>
              </w:rPr>
              <w:t>2024 рік</w:t>
            </w:r>
          </w:p>
        </w:tc>
        <w:tc>
          <w:tcPr>
            <w:tcW w:w="4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27" w:type="dxa"/>
          <w:trHeight w:val="904" w:hRule="atLeast"/>
          <w:tblCellSpacing w:w="0" w:type="dxa"/>
        </w:trPr>
        <w:tc>
          <w:tcPr>
            <w:tcW w:w="5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uk-UA"/>
              </w:rPr>
              <w:t>4440,8 тис. грн.</w:t>
            </w:r>
          </w:p>
        </w:tc>
        <w:tc>
          <w:tcPr>
            <w:tcW w:w="42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before="100" w:after="10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4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before="100" w:after="10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uk-UA"/>
              </w:rPr>
              <w:t>4440,8 тис. грн.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tblCellSpacing w:w="0" w:type="dxa"/>
        </w:trPr>
        <w:tc>
          <w:tcPr>
            <w:tcW w:w="14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tblCellSpacing w:w="0" w:type="dxa"/>
        </w:trPr>
        <w:tc>
          <w:tcPr>
            <w:tcW w:w="14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301" w:type="dxa"/>
          <w:trHeight w:val="284" w:hRule="atLeast"/>
          <w:tblCellSpacing w:w="0" w:type="dxa"/>
        </w:trPr>
        <w:tc>
          <w:tcPr>
            <w:tcW w:w="14459" w:type="dxa"/>
            <w:gridSpan w:val="4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сума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 xml:space="preserve">планових витрат по 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  <w:lang w:eastAsia="uk-UA"/>
              </w:rPr>
              <w:t>КУ «ДМІАЦ» ДМР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uk-UA"/>
              </w:rPr>
              <w:t>4440,8 тис. грн.</w:t>
            </w: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Виконавець програми</w:t>
            </w: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 xml:space="preserve">комунальна установа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«Дрогобицький </w:t>
            </w: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медичний інформаційно-аналітичний центр»</w:t>
            </w: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Дрогобицької міської ради                                                                               ______________        Роман МІРКЕВИЧ</w:t>
            </w: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Керівник програми начальник </w:t>
            </w: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відділу охорони здоров'я виконавчих </w:t>
            </w: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органів Дрогобицької міської ради                                                                    ______________         Володимир ЧУБА</w:t>
            </w:r>
          </w:p>
          <w:p>
            <w:pPr>
              <w:pStyle w:val="8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</w:pPr>
          </w:p>
          <w:p>
            <w:pPr>
              <w:pStyle w:val="8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301" w:type="dxa"/>
          <w:trHeight w:val="284" w:hRule="atLeast"/>
          <w:tblCellSpacing w:w="0" w:type="dxa"/>
        </w:trPr>
        <w:tc>
          <w:tcPr>
            <w:tcW w:w="14459" w:type="dxa"/>
            <w:gridSpan w:val="4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301" w:type="dxa"/>
          <w:trHeight w:val="80" w:hRule="atLeast"/>
          <w:tblCellSpacing w:w="0" w:type="dxa"/>
        </w:trPr>
        <w:tc>
          <w:tcPr>
            <w:tcW w:w="14459" w:type="dxa"/>
            <w:gridSpan w:val="4"/>
            <w:tcBorders>
              <w:top w:val="nil"/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spacing w:line="240" w:lineRule="auto"/>
        <w:jc w:val="both"/>
      </w:pPr>
    </w:p>
    <w:sectPr>
      <w:pgSz w:w="16838" w:h="11906" w:orient="landscape"/>
      <w:pgMar w:top="426" w:right="1134" w:bottom="567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DB1BFA"/>
    <w:multiLevelType w:val="multilevel"/>
    <w:tmpl w:val="50DB1BF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F06980"/>
    <w:multiLevelType w:val="multilevel"/>
    <w:tmpl w:val="70F0698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65EDF"/>
    <w:rsid w:val="0000572E"/>
    <w:rsid w:val="00027396"/>
    <w:rsid w:val="00064814"/>
    <w:rsid w:val="00070535"/>
    <w:rsid w:val="00073CAA"/>
    <w:rsid w:val="00083A4C"/>
    <w:rsid w:val="000925F7"/>
    <w:rsid w:val="000A263C"/>
    <w:rsid w:val="000A62D1"/>
    <w:rsid w:val="000E625E"/>
    <w:rsid w:val="00101E2E"/>
    <w:rsid w:val="0010668B"/>
    <w:rsid w:val="00180868"/>
    <w:rsid w:val="0018543A"/>
    <w:rsid w:val="001D08D1"/>
    <w:rsid w:val="00205260"/>
    <w:rsid w:val="00220AF1"/>
    <w:rsid w:val="0027350F"/>
    <w:rsid w:val="002872E5"/>
    <w:rsid w:val="002C184D"/>
    <w:rsid w:val="003466B6"/>
    <w:rsid w:val="00351089"/>
    <w:rsid w:val="00375B95"/>
    <w:rsid w:val="003D39D5"/>
    <w:rsid w:val="003D73B6"/>
    <w:rsid w:val="003E23AD"/>
    <w:rsid w:val="003E57B4"/>
    <w:rsid w:val="004010CF"/>
    <w:rsid w:val="004048CC"/>
    <w:rsid w:val="00444F70"/>
    <w:rsid w:val="004714D8"/>
    <w:rsid w:val="004A0DC6"/>
    <w:rsid w:val="004D1B30"/>
    <w:rsid w:val="00514099"/>
    <w:rsid w:val="00515A13"/>
    <w:rsid w:val="005234C9"/>
    <w:rsid w:val="005503C1"/>
    <w:rsid w:val="0055155A"/>
    <w:rsid w:val="00555A8D"/>
    <w:rsid w:val="005564E7"/>
    <w:rsid w:val="00561FA3"/>
    <w:rsid w:val="00596AE4"/>
    <w:rsid w:val="005A3D65"/>
    <w:rsid w:val="005B4532"/>
    <w:rsid w:val="005D64BA"/>
    <w:rsid w:val="005E123B"/>
    <w:rsid w:val="005E55C7"/>
    <w:rsid w:val="0062222A"/>
    <w:rsid w:val="006271E6"/>
    <w:rsid w:val="006337BD"/>
    <w:rsid w:val="0063459E"/>
    <w:rsid w:val="00655529"/>
    <w:rsid w:val="00663B63"/>
    <w:rsid w:val="006756A1"/>
    <w:rsid w:val="006B6651"/>
    <w:rsid w:val="006E7A7B"/>
    <w:rsid w:val="006F7E78"/>
    <w:rsid w:val="00717281"/>
    <w:rsid w:val="007203D5"/>
    <w:rsid w:val="00752B5A"/>
    <w:rsid w:val="007630A9"/>
    <w:rsid w:val="00784888"/>
    <w:rsid w:val="007A4ECA"/>
    <w:rsid w:val="007B5A8D"/>
    <w:rsid w:val="007C5787"/>
    <w:rsid w:val="00806EDC"/>
    <w:rsid w:val="00863938"/>
    <w:rsid w:val="008A4E8A"/>
    <w:rsid w:val="00911237"/>
    <w:rsid w:val="00965AE9"/>
    <w:rsid w:val="009705C9"/>
    <w:rsid w:val="009A478E"/>
    <w:rsid w:val="009C3023"/>
    <w:rsid w:val="009C589E"/>
    <w:rsid w:val="009D4BBB"/>
    <w:rsid w:val="009E634F"/>
    <w:rsid w:val="00A01EF5"/>
    <w:rsid w:val="00A20659"/>
    <w:rsid w:val="00A30554"/>
    <w:rsid w:val="00A63F9F"/>
    <w:rsid w:val="00A654F8"/>
    <w:rsid w:val="00A7742F"/>
    <w:rsid w:val="00AA043C"/>
    <w:rsid w:val="00AA2B87"/>
    <w:rsid w:val="00AC2EDA"/>
    <w:rsid w:val="00AF0056"/>
    <w:rsid w:val="00B053FC"/>
    <w:rsid w:val="00B539F9"/>
    <w:rsid w:val="00B53D91"/>
    <w:rsid w:val="00B66703"/>
    <w:rsid w:val="00B95857"/>
    <w:rsid w:val="00BF3B8A"/>
    <w:rsid w:val="00C23CF1"/>
    <w:rsid w:val="00C266FF"/>
    <w:rsid w:val="00C65EDF"/>
    <w:rsid w:val="00CC0A82"/>
    <w:rsid w:val="00D15767"/>
    <w:rsid w:val="00D317CD"/>
    <w:rsid w:val="00D47D31"/>
    <w:rsid w:val="00D5688C"/>
    <w:rsid w:val="00D64229"/>
    <w:rsid w:val="00DA2233"/>
    <w:rsid w:val="00DC0A56"/>
    <w:rsid w:val="00DC553B"/>
    <w:rsid w:val="00DC6083"/>
    <w:rsid w:val="00E0024E"/>
    <w:rsid w:val="00E10D9A"/>
    <w:rsid w:val="00E24BBD"/>
    <w:rsid w:val="00E30875"/>
    <w:rsid w:val="00E349F0"/>
    <w:rsid w:val="00E4175D"/>
    <w:rsid w:val="00F00ACA"/>
    <w:rsid w:val="00F35382"/>
    <w:rsid w:val="00F41506"/>
    <w:rsid w:val="00F76628"/>
    <w:rsid w:val="00FD431F"/>
    <w:rsid w:val="00FF397B"/>
    <w:rsid w:val="47D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table" w:styleId="7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character" w:customStyle="1" w:styleId="9">
    <w:name w:val="Текст выноски Знак"/>
    <w:basedOn w:val="2"/>
    <w:link w:val="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0">
    <w:name w:val="docdata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character" w:customStyle="1" w:styleId="11">
    <w:name w:val="2011"/>
    <w:basedOn w:val="2"/>
    <w:uiPriority w:val="0"/>
  </w:style>
  <w:style w:type="paragraph" w:customStyle="1" w:styleId="12">
    <w:name w:val="28331"/>
    <w:basedOn w:val="1"/>
    <w:semiHidden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character" w:customStyle="1" w:styleId="13">
    <w:name w:val="rvts23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FC9D1-3DD7-4065-BC55-A434DD3234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1733</Words>
  <Characters>9884</Characters>
  <Lines>82</Lines>
  <Paragraphs>23</Paragraphs>
  <TotalTime>10</TotalTime>
  <ScaleCrop>false</ScaleCrop>
  <LinksUpToDate>false</LinksUpToDate>
  <CharactersWithSpaces>11594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2023-12-11T09:50:00Z</dcterms:created>
  <dc:creator>User</dc:creator>
  <cp:lastModifiedBy>Відділ ІТ та ана�</cp:lastModifiedBy>
  <cp:lastPrinted>2023-12-11T09:57:00Z</cp:lastPrinted>
  <dcterms:modified xsi:type="dcterms:W3CDTF">2023-12-28T14:37:09Z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CE98A1230D0A4D55A69B640F0F212D2C_12</vt:lpwstr>
  </property>
</Properties>
</file>