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A84E2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uk-UA"/>
        </w:rPr>
        <w:t>Додаток № 4 до рішення</w:t>
      </w:r>
    </w:p>
    <w:p w14:paraId="184AAAAD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uk-UA"/>
        </w:rPr>
        <w:t xml:space="preserve">  Дрогобицької міської ради </w:t>
      </w:r>
    </w:p>
    <w:p w14:paraId="695B6EF3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uk-UA"/>
        </w:rPr>
        <w:t>№______від__________</w:t>
      </w:r>
    </w:p>
    <w:p w14:paraId="2AF60565">
      <w:pPr>
        <w:pStyle w:val="4"/>
        <w:spacing w:before="0"/>
        <w:jc w:val="both"/>
        <w:rPr>
          <w:rFonts w:ascii="Times New Roman" w:hAnsi="Times New Roman"/>
          <w:b/>
          <w:sz w:val="28"/>
          <w:szCs w:val="28"/>
        </w:rPr>
      </w:pPr>
    </w:p>
    <w:p w14:paraId="2CA33B7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</w:pPr>
    </w:p>
    <w:p w14:paraId="0862F9A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Порядок розподілу орендної плати за використання майна</w:t>
      </w:r>
    </w:p>
    <w:p w14:paraId="6EABF7C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Дрогобицької міської територіальної громади</w:t>
      </w:r>
    </w:p>
    <w:p w14:paraId="0785411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4C59C3E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 У разі, коли орендодавцем майна є управління майна громади виконавчих органів Дрогобицької міської ради, яке є балансоутримувачем майна, 100% орендної плати спрямовується до бюджету Дрогобицької міської територіальної громади.</w:t>
      </w:r>
    </w:p>
    <w:p w14:paraId="0385624B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2. У разі, коли орендодавцем майна є управління майна громади виконавчих органів Дрогобицької міської ради, а балансоутримувачем об»єкту оренди є комунальне підприємство, установа чи організація, 50% орендної плати спрямовуєтьсядо бюджету Дрогобицької міської територіальної громади, 50% на розрахунковий рахунок балансоутримувача.</w:t>
      </w:r>
    </w:p>
    <w:p w14:paraId="4563B798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3. Уразі, коли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орендодавцем майна є управління майна громади виконавчих органів Дрогобицької міської ради, а балансоутримувачем об»єкту оренди є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 виконавчий комітет Дрогобицької міської ради, 100%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орендної плати спрямовується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 бюджету Дрогобицької міської територіальної громади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>.</w:t>
      </w:r>
    </w:p>
    <w:p w14:paraId="53A80C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 У разі, коли орендодавцем майна є балансоутримувач – комунальне підприємство,  установа чи організація, орендна плата спрямовується:</w:t>
      </w:r>
    </w:p>
    <w:p w14:paraId="421AF27B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1) 50 % орендної плати до бюджету Дрогобицької міської  територіальної громади, 50 % балансоутримувачу майна, якщо інше не передбачено сесією Дрогобицької міської ради;</w:t>
      </w:r>
    </w:p>
    <w:p w14:paraId="1F37A26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2) за нерухоме майно для організації та проведення науково-практичних, культурних,  мистецьких, громадських, суспільних та політичних заходів - на строк, що не перевищує п’яти календарних днів протягом шести місяців, а також щодо майна, яке передається  суб’єктам виборчого процесу для проведення публічних заходів (зборів, дебатів, дискусій) під час та на період виборчої кампанії – 100 % орендної плати  балансоутримувачу майна;</w:t>
      </w:r>
    </w:p>
    <w:p w14:paraId="06F4025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3) нерухомого майна для організації та проведення науково-практичних, культурних, мистецьких, громадських, суспільних та політичних заходів - на строк, що не перевищує 30 календарних днів протягом одного року щодо кожного орендаря (якщо  балансоутримувачем є комунальне підприємство, установа, організація, що здійснює  діяльність з організування конгресів і торговельних виставок) – 50 % орендної плати до  бюджету Дрогобицької міської територіальної громади, 50 % балансоутримувачу майна;</w:t>
      </w:r>
    </w:p>
    <w:p w14:paraId="3006338B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4) іншого окремого індивідуально визначеного майна – 100 % орендної плати  балансоутримувачу майна.</w:t>
      </w:r>
    </w:p>
    <w:p w14:paraId="6DB8C61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>5. У разі, коли орендна плата становить 1 гривня в рік, розподіл орендної плати не проводиться і вся сума спрямовується на розрахунковий рахунок, вказаний  у  відповідному договорі оренди нерухомого майна.</w:t>
      </w:r>
    </w:p>
    <w:p w14:paraId="6ACC071F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</w:pPr>
    </w:p>
    <w:p w14:paraId="14FA9753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  <w:t xml:space="preserve">Начальник управління майна громади                             </w:t>
      </w:r>
    </w:p>
    <w:p w14:paraId="3BAEFFB7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ntiqua">
    <w:altName w:val="Arial Narrow"/>
    <w:panose1 w:val="00000000000000000000"/>
    <w:charset w:val="00"/>
    <w:family w:val="swiss"/>
    <w:pitch w:val="default"/>
    <w:sig w:usb0="00000000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24773"/>
    <w:rsid w:val="5812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Нормальний текст"/>
    <w:basedOn w:val="1"/>
    <w:qFormat/>
    <w:uiPriority w:val="0"/>
    <w:pPr>
      <w:spacing w:before="120" w:after="0" w:line="240" w:lineRule="auto"/>
      <w:ind w:firstLine="567"/>
    </w:pPr>
    <w:rPr>
      <w:rFonts w:ascii="Antiqua" w:hAnsi="Antiqua" w:eastAsia="Times New Roman" w:cs="Times New Roman"/>
      <w:color w:val="00000A"/>
      <w:sz w:val="26"/>
      <w:szCs w:val="20"/>
      <w:lang w:val="uk-UA"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2025-01-16T06:41:00Z</dcterms:created>
  <dc:creator>Відділ ІТ та ана�</dc:creator>
  <cp:lastModifiedBy>Відділ ІТ та ана�</cp:lastModifiedBy>
  <dcterms:modified xsi:type="dcterms:W3CDTF">2025-01-16T06:43:02Z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1F32B3CB9FB14C50A368EE0677EF4588_11</vt:lpwstr>
  </property>
</Properties>
</file>