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CA777">
      <w:pPr>
        <w:pStyle w:val="11"/>
        <w:jc w:val="both"/>
        <w:rPr>
          <w:rFonts w:ascii="Times New Roman" w:hAnsi="Times New Roman" w:cs="Times New Roman"/>
          <w:sz w:val="28"/>
          <w:szCs w:val="28"/>
          <w:lang w:eastAsia="uk-UA"/>
        </w:rPr>
      </w:pPr>
      <w:bookmarkStart w:id="0" w:name="_GoBack"/>
      <w:bookmarkEnd w:id="0"/>
    </w:p>
    <w:p w14:paraId="6221483C">
      <w:pPr>
        <w:pStyle w:val="11"/>
        <w:jc w:val="center"/>
        <w:rPr>
          <w:rFonts w:ascii="Times New Roman" w:hAnsi="Times New Roman" w:cs="Times New Roman"/>
          <w:sz w:val="28"/>
          <w:szCs w:val="28"/>
          <w:lang w:eastAsia="uk-UA"/>
        </w:rPr>
      </w:pPr>
      <w:r>
        <w:rPr>
          <w:rFonts w:ascii="Times New Roman" w:hAnsi="Times New Roman" w:cs="Times New Roman"/>
          <w:b/>
          <w:sz w:val="28"/>
          <w:szCs w:val="28"/>
          <w:lang w:eastAsia="uk-UA"/>
        </w:rPr>
        <w:t>ПАСПОРТ</w:t>
      </w:r>
      <w:r>
        <w:rPr>
          <w:rFonts w:ascii="Times New Roman" w:hAnsi="Times New Roman" w:cs="Times New Roman"/>
          <w:sz w:val="28"/>
          <w:szCs w:val="28"/>
          <w:lang w:eastAsia="uk-UA"/>
        </w:rPr>
        <w:t> </w:t>
      </w:r>
    </w:p>
    <w:p w14:paraId="31DD14FE">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Програми розвитку та підтримки комунальних некомерційних </w:t>
      </w:r>
    </w:p>
    <w:p w14:paraId="097B1D08">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підприємств охорони здоров’я </w:t>
      </w:r>
    </w:p>
    <w:p w14:paraId="53157DB1">
      <w:pPr>
        <w:pStyle w:val="11"/>
        <w:jc w:val="center"/>
        <w:rPr>
          <w:rFonts w:ascii="Times New Roman" w:hAnsi="Times New Roman" w:cs="Times New Roman"/>
          <w:b/>
          <w:bCs/>
          <w:sz w:val="28"/>
          <w:szCs w:val="28"/>
          <w:lang w:eastAsia="uk-UA"/>
        </w:rPr>
      </w:pPr>
      <w:r>
        <w:rPr>
          <w:rFonts w:ascii="Times New Roman" w:hAnsi="Times New Roman" w:cs="Times New Roman"/>
          <w:b/>
          <w:sz w:val="28"/>
          <w:szCs w:val="28"/>
          <w:lang w:eastAsia="uk-UA"/>
        </w:rPr>
        <w:t>Дрогобицької</w:t>
      </w:r>
      <w:r>
        <w:rPr>
          <w:rFonts w:ascii="Times New Roman" w:hAnsi="Times New Roman" w:cs="Times New Roman"/>
          <w:b/>
          <w:bCs/>
          <w:sz w:val="28"/>
          <w:szCs w:val="28"/>
          <w:lang w:eastAsia="uk-UA"/>
        </w:rPr>
        <w:t xml:space="preserve"> міської територіальної громади на 2025 р.</w:t>
      </w:r>
    </w:p>
    <w:p w14:paraId="7A83DB92">
      <w:pPr>
        <w:pStyle w:val="11"/>
        <w:ind w:firstLine="708"/>
        <w:jc w:val="both"/>
        <w:rPr>
          <w:rFonts w:ascii="Times New Roman" w:hAnsi="Times New Roman" w:cs="Times New Roman"/>
          <w:sz w:val="28"/>
          <w:szCs w:val="28"/>
          <w:lang w:eastAsia="uk-UA"/>
        </w:rPr>
      </w:pPr>
    </w:p>
    <w:tbl>
      <w:tblPr>
        <w:tblStyle w:val="5"/>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3803"/>
        <w:gridCol w:w="5457"/>
      </w:tblGrid>
      <w:tr w14:paraId="7DCF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6" w:type="dxa"/>
            <w:shd w:val="clear" w:color="auto" w:fill="auto"/>
          </w:tcPr>
          <w:p w14:paraId="2F8B5BF0">
            <w:pPr>
              <w:jc w:val="center"/>
              <w:rPr>
                <w:sz w:val="26"/>
                <w:szCs w:val="26"/>
              </w:rPr>
            </w:pPr>
            <w:r>
              <w:rPr>
                <w:sz w:val="26"/>
                <w:szCs w:val="26"/>
              </w:rPr>
              <w:t>1.</w:t>
            </w:r>
          </w:p>
        </w:tc>
        <w:tc>
          <w:tcPr>
            <w:tcW w:w="3803" w:type="dxa"/>
            <w:shd w:val="clear" w:color="auto" w:fill="auto"/>
          </w:tcPr>
          <w:p w14:paraId="1052CF3F">
            <w:pPr>
              <w:jc w:val="center"/>
              <w:rPr>
                <w:sz w:val="26"/>
                <w:szCs w:val="26"/>
              </w:rPr>
            </w:pPr>
            <w:r>
              <w:rPr>
                <w:sz w:val="26"/>
                <w:szCs w:val="26"/>
              </w:rPr>
              <w:t>Ініціатор розроблення Програми</w:t>
            </w:r>
          </w:p>
        </w:tc>
        <w:tc>
          <w:tcPr>
            <w:tcW w:w="5457" w:type="dxa"/>
            <w:shd w:val="clear" w:color="auto" w:fill="auto"/>
          </w:tcPr>
          <w:p w14:paraId="53E55B2F">
            <w:pPr>
              <w:jc w:val="center"/>
              <w:rPr>
                <w:sz w:val="26"/>
                <w:szCs w:val="26"/>
              </w:rPr>
            </w:pPr>
            <w:r>
              <w:rPr>
                <w:sz w:val="26"/>
                <w:szCs w:val="26"/>
              </w:rPr>
              <w:t>Відділ охорони здоров`я</w:t>
            </w:r>
          </w:p>
          <w:p w14:paraId="20E7F5DD">
            <w:pPr>
              <w:jc w:val="center"/>
              <w:rPr>
                <w:sz w:val="26"/>
                <w:szCs w:val="26"/>
              </w:rPr>
            </w:pPr>
            <w:r>
              <w:rPr>
                <w:sz w:val="26"/>
                <w:szCs w:val="26"/>
              </w:rPr>
              <w:t>виконавчих органів Дрогобицької міської ради</w:t>
            </w:r>
          </w:p>
        </w:tc>
      </w:tr>
      <w:tr w14:paraId="0CA1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tcPr>
          <w:p w14:paraId="2BC392C2">
            <w:pPr>
              <w:jc w:val="center"/>
              <w:rPr>
                <w:sz w:val="26"/>
                <w:szCs w:val="26"/>
              </w:rPr>
            </w:pPr>
            <w:r>
              <w:rPr>
                <w:sz w:val="26"/>
                <w:szCs w:val="26"/>
              </w:rPr>
              <w:t>2.</w:t>
            </w:r>
          </w:p>
        </w:tc>
        <w:tc>
          <w:tcPr>
            <w:tcW w:w="3803" w:type="dxa"/>
            <w:shd w:val="clear" w:color="auto" w:fill="auto"/>
          </w:tcPr>
          <w:p w14:paraId="08E1F485">
            <w:pPr>
              <w:jc w:val="center"/>
              <w:rPr>
                <w:sz w:val="26"/>
                <w:szCs w:val="26"/>
              </w:rPr>
            </w:pPr>
            <w:r>
              <w:rPr>
                <w:sz w:val="26"/>
                <w:szCs w:val="26"/>
              </w:rPr>
              <w:t>Розробник Програми</w:t>
            </w:r>
          </w:p>
        </w:tc>
        <w:tc>
          <w:tcPr>
            <w:tcW w:w="5457" w:type="dxa"/>
            <w:shd w:val="clear" w:color="auto" w:fill="auto"/>
          </w:tcPr>
          <w:p w14:paraId="5F6E5633">
            <w:pPr>
              <w:jc w:val="center"/>
              <w:rPr>
                <w:sz w:val="26"/>
                <w:szCs w:val="26"/>
              </w:rPr>
            </w:pPr>
            <w:r>
              <w:rPr>
                <w:sz w:val="26"/>
                <w:szCs w:val="26"/>
              </w:rPr>
              <w:t>Відділ охорони здоров`я</w:t>
            </w:r>
          </w:p>
          <w:p w14:paraId="26EDD219">
            <w:pPr>
              <w:jc w:val="center"/>
              <w:rPr>
                <w:sz w:val="26"/>
                <w:szCs w:val="26"/>
              </w:rPr>
            </w:pPr>
            <w:r>
              <w:rPr>
                <w:sz w:val="26"/>
                <w:szCs w:val="26"/>
              </w:rPr>
              <w:t>виконавчих органів Дрогобицької міської ради</w:t>
            </w:r>
          </w:p>
        </w:tc>
      </w:tr>
      <w:tr w14:paraId="469E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6" w:type="dxa"/>
            <w:shd w:val="clear" w:color="auto" w:fill="auto"/>
          </w:tcPr>
          <w:p w14:paraId="3674CCF9">
            <w:pPr>
              <w:jc w:val="center"/>
              <w:rPr>
                <w:sz w:val="26"/>
                <w:szCs w:val="26"/>
              </w:rPr>
            </w:pPr>
            <w:r>
              <w:rPr>
                <w:sz w:val="26"/>
                <w:szCs w:val="26"/>
              </w:rPr>
              <w:t>3.</w:t>
            </w:r>
          </w:p>
        </w:tc>
        <w:tc>
          <w:tcPr>
            <w:tcW w:w="3803" w:type="dxa"/>
            <w:shd w:val="clear" w:color="auto" w:fill="auto"/>
          </w:tcPr>
          <w:p w14:paraId="39E8343D">
            <w:pPr>
              <w:jc w:val="center"/>
              <w:rPr>
                <w:sz w:val="26"/>
                <w:szCs w:val="26"/>
              </w:rPr>
            </w:pPr>
            <w:r>
              <w:rPr>
                <w:sz w:val="26"/>
                <w:szCs w:val="26"/>
              </w:rPr>
              <w:t>Співрозробник Програми</w:t>
            </w:r>
          </w:p>
        </w:tc>
        <w:tc>
          <w:tcPr>
            <w:tcW w:w="5457" w:type="dxa"/>
            <w:shd w:val="clear" w:color="auto" w:fill="auto"/>
          </w:tcPr>
          <w:p w14:paraId="1C28E274">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лікарня № 1» Дрогобицької міської ради;</w:t>
            </w:r>
          </w:p>
          <w:p w14:paraId="67842AE5">
            <w:pPr>
              <w:pStyle w:val="10"/>
              <w:spacing w:after="0" w:line="240" w:lineRule="auto"/>
              <w:ind w:left="34"/>
              <w:rPr>
                <w:rFonts w:ascii="Times New Roman" w:hAnsi="Times New Roman"/>
                <w:sz w:val="26"/>
                <w:szCs w:val="26"/>
              </w:rPr>
            </w:pPr>
            <w:r>
              <w:rPr>
                <w:rFonts w:ascii="Times New Roman" w:hAnsi="Times New Roman"/>
                <w:sz w:val="26"/>
                <w:szCs w:val="26"/>
              </w:rPr>
              <w:t xml:space="preserve">- Комунальне некомерційне підприємство </w:t>
            </w:r>
          </w:p>
          <w:p w14:paraId="546E7A38">
            <w:pPr>
              <w:pStyle w:val="10"/>
              <w:spacing w:after="0" w:line="240" w:lineRule="auto"/>
              <w:ind w:left="34"/>
              <w:rPr>
                <w:rFonts w:ascii="Times New Roman" w:hAnsi="Times New Roman"/>
                <w:sz w:val="26"/>
                <w:szCs w:val="26"/>
              </w:rPr>
            </w:pPr>
            <w:r>
              <w:rPr>
                <w:rFonts w:ascii="Times New Roman" w:hAnsi="Times New Roman"/>
                <w:sz w:val="26"/>
                <w:szCs w:val="26"/>
              </w:rPr>
              <w:t>«Дрогобицька міська лікарня №3» Дрогобицької міської ради;</w:t>
            </w:r>
          </w:p>
          <w:p w14:paraId="2D5386D1">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«Стебницька міська лікарня» Дрогобицької міської ради;</w:t>
            </w:r>
          </w:p>
          <w:p w14:paraId="4392C072">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поліклініка» Дрогобицької міської ради;</w:t>
            </w:r>
          </w:p>
          <w:p w14:paraId="6FED9B2B">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районна поліклініка» Дрогобицької міської ради.</w:t>
            </w:r>
          </w:p>
          <w:p w14:paraId="0966C4F3">
            <w:pPr>
              <w:pStyle w:val="10"/>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«Болехівська амбулаторія загальної практики сімейної медицини» Дрогобицької міської ради.</w:t>
            </w:r>
          </w:p>
        </w:tc>
      </w:tr>
      <w:tr w14:paraId="6768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tcPr>
          <w:p w14:paraId="41713945">
            <w:pPr>
              <w:jc w:val="center"/>
              <w:rPr>
                <w:sz w:val="26"/>
                <w:szCs w:val="26"/>
              </w:rPr>
            </w:pPr>
            <w:r>
              <w:rPr>
                <w:sz w:val="26"/>
                <w:szCs w:val="26"/>
              </w:rPr>
              <w:t>4.</w:t>
            </w:r>
          </w:p>
        </w:tc>
        <w:tc>
          <w:tcPr>
            <w:tcW w:w="3803" w:type="dxa"/>
            <w:shd w:val="clear" w:color="auto" w:fill="auto"/>
          </w:tcPr>
          <w:p w14:paraId="2FAEE6A8">
            <w:pPr>
              <w:jc w:val="center"/>
              <w:rPr>
                <w:sz w:val="26"/>
                <w:szCs w:val="26"/>
              </w:rPr>
            </w:pPr>
            <w:r>
              <w:rPr>
                <w:sz w:val="26"/>
                <w:szCs w:val="26"/>
              </w:rPr>
              <w:t>Відповідальний виконавець Програми</w:t>
            </w:r>
          </w:p>
        </w:tc>
        <w:tc>
          <w:tcPr>
            <w:tcW w:w="5457" w:type="dxa"/>
            <w:shd w:val="clear" w:color="auto" w:fill="auto"/>
          </w:tcPr>
          <w:p w14:paraId="63D385A8">
            <w:pPr>
              <w:jc w:val="center"/>
              <w:rPr>
                <w:sz w:val="26"/>
                <w:szCs w:val="26"/>
              </w:rPr>
            </w:pPr>
            <w:r>
              <w:rPr>
                <w:sz w:val="26"/>
                <w:szCs w:val="26"/>
              </w:rPr>
              <w:t>Відділ охорони здоров`я</w:t>
            </w:r>
          </w:p>
          <w:p w14:paraId="44BB7AF0">
            <w:pPr>
              <w:jc w:val="center"/>
              <w:rPr>
                <w:sz w:val="26"/>
                <w:szCs w:val="26"/>
              </w:rPr>
            </w:pPr>
            <w:r>
              <w:rPr>
                <w:sz w:val="26"/>
                <w:szCs w:val="26"/>
              </w:rPr>
              <w:t>виконавчих органів Дрогобицької міської ради</w:t>
            </w:r>
          </w:p>
        </w:tc>
      </w:tr>
      <w:tr w14:paraId="5024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16" w:type="dxa"/>
            <w:shd w:val="clear" w:color="auto" w:fill="auto"/>
          </w:tcPr>
          <w:p w14:paraId="35173181">
            <w:pPr>
              <w:jc w:val="center"/>
              <w:rPr>
                <w:sz w:val="26"/>
                <w:szCs w:val="26"/>
              </w:rPr>
            </w:pPr>
            <w:r>
              <w:rPr>
                <w:sz w:val="26"/>
                <w:szCs w:val="26"/>
              </w:rPr>
              <w:t>5.</w:t>
            </w:r>
          </w:p>
        </w:tc>
        <w:tc>
          <w:tcPr>
            <w:tcW w:w="3803" w:type="dxa"/>
            <w:shd w:val="clear" w:color="auto" w:fill="auto"/>
          </w:tcPr>
          <w:p w14:paraId="55D2E3E0">
            <w:pPr>
              <w:jc w:val="center"/>
              <w:rPr>
                <w:sz w:val="26"/>
                <w:szCs w:val="26"/>
              </w:rPr>
            </w:pPr>
            <w:r>
              <w:rPr>
                <w:sz w:val="26"/>
                <w:szCs w:val="26"/>
              </w:rPr>
              <w:t>Головний розпорядник коштів</w:t>
            </w:r>
          </w:p>
        </w:tc>
        <w:tc>
          <w:tcPr>
            <w:tcW w:w="5457" w:type="dxa"/>
            <w:shd w:val="clear" w:color="auto" w:fill="auto"/>
          </w:tcPr>
          <w:p w14:paraId="4F93EE3C">
            <w:pPr>
              <w:jc w:val="center"/>
              <w:rPr>
                <w:sz w:val="26"/>
                <w:szCs w:val="26"/>
              </w:rPr>
            </w:pPr>
            <w:r>
              <w:rPr>
                <w:sz w:val="26"/>
                <w:szCs w:val="26"/>
              </w:rPr>
              <w:t>Відділ охорони здоров`я</w:t>
            </w:r>
          </w:p>
          <w:p w14:paraId="167CE331">
            <w:pPr>
              <w:jc w:val="center"/>
              <w:rPr>
                <w:sz w:val="26"/>
                <w:szCs w:val="26"/>
              </w:rPr>
            </w:pPr>
            <w:r>
              <w:rPr>
                <w:sz w:val="26"/>
                <w:szCs w:val="26"/>
              </w:rPr>
              <w:t>виконавчих органів Дрогобицької міської ради</w:t>
            </w:r>
          </w:p>
        </w:tc>
      </w:tr>
      <w:tr w14:paraId="7650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16" w:type="dxa"/>
            <w:shd w:val="clear" w:color="auto" w:fill="auto"/>
          </w:tcPr>
          <w:p w14:paraId="1FE6C2CC">
            <w:pPr>
              <w:jc w:val="center"/>
              <w:rPr>
                <w:sz w:val="26"/>
                <w:szCs w:val="26"/>
              </w:rPr>
            </w:pPr>
            <w:r>
              <w:rPr>
                <w:sz w:val="26"/>
                <w:szCs w:val="26"/>
              </w:rPr>
              <w:t>6.</w:t>
            </w:r>
          </w:p>
        </w:tc>
        <w:tc>
          <w:tcPr>
            <w:tcW w:w="3803" w:type="dxa"/>
            <w:shd w:val="clear" w:color="auto" w:fill="auto"/>
          </w:tcPr>
          <w:p w14:paraId="72CBC9D9">
            <w:pPr>
              <w:jc w:val="center"/>
              <w:rPr>
                <w:sz w:val="26"/>
                <w:szCs w:val="26"/>
              </w:rPr>
            </w:pPr>
            <w:r>
              <w:rPr>
                <w:sz w:val="26"/>
                <w:szCs w:val="26"/>
              </w:rPr>
              <w:t>Термін реалізації Програми</w:t>
            </w:r>
          </w:p>
        </w:tc>
        <w:tc>
          <w:tcPr>
            <w:tcW w:w="5457" w:type="dxa"/>
            <w:shd w:val="clear" w:color="auto" w:fill="auto"/>
          </w:tcPr>
          <w:p w14:paraId="0F0B7D73">
            <w:pPr>
              <w:jc w:val="center"/>
              <w:rPr>
                <w:sz w:val="26"/>
                <w:szCs w:val="26"/>
              </w:rPr>
            </w:pPr>
          </w:p>
          <w:p w14:paraId="46D862BE">
            <w:pPr>
              <w:jc w:val="center"/>
              <w:rPr>
                <w:sz w:val="26"/>
                <w:szCs w:val="26"/>
              </w:rPr>
            </w:pPr>
            <w:r>
              <w:rPr>
                <w:sz w:val="26"/>
                <w:szCs w:val="26"/>
              </w:rPr>
              <w:t>2025 рік</w:t>
            </w:r>
          </w:p>
        </w:tc>
      </w:tr>
      <w:tr w14:paraId="5712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16" w:type="dxa"/>
            <w:shd w:val="clear" w:color="auto" w:fill="auto"/>
          </w:tcPr>
          <w:p w14:paraId="1ADABD9B">
            <w:pPr>
              <w:jc w:val="center"/>
              <w:rPr>
                <w:sz w:val="26"/>
                <w:szCs w:val="26"/>
              </w:rPr>
            </w:pPr>
            <w:r>
              <w:rPr>
                <w:sz w:val="26"/>
                <w:szCs w:val="26"/>
              </w:rPr>
              <w:t>7.</w:t>
            </w:r>
          </w:p>
        </w:tc>
        <w:tc>
          <w:tcPr>
            <w:tcW w:w="3803" w:type="dxa"/>
            <w:shd w:val="clear" w:color="auto" w:fill="auto"/>
          </w:tcPr>
          <w:p w14:paraId="54A89955">
            <w:pPr>
              <w:jc w:val="center"/>
              <w:rPr>
                <w:sz w:val="26"/>
                <w:szCs w:val="26"/>
              </w:rPr>
            </w:pPr>
            <w:r>
              <w:rPr>
                <w:sz w:val="26"/>
                <w:szCs w:val="26"/>
              </w:rPr>
              <w:t>Перелік джерел фінансування, які беруть участь у виконанні Програми</w:t>
            </w:r>
          </w:p>
        </w:tc>
        <w:tc>
          <w:tcPr>
            <w:tcW w:w="5457" w:type="dxa"/>
            <w:tcBorders>
              <w:bottom w:val="single" w:color="auto" w:sz="4" w:space="0"/>
            </w:tcBorders>
            <w:shd w:val="clear" w:color="auto" w:fill="auto"/>
          </w:tcPr>
          <w:p w14:paraId="630F2A4B">
            <w:pPr>
              <w:jc w:val="center"/>
              <w:rPr>
                <w:sz w:val="26"/>
                <w:szCs w:val="26"/>
              </w:rPr>
            </w:pPr>
          </w:p>
          <w:p w14:paraId="57D665F9">
            <w:pPr>
              <w:jc w:val="center"/>
              <w:rPr>
                <w:sz w:val="26"/>
                <w:szCs w:val="26"/>
              </w:rPr>
            </w:pPr>
            <w:r>
              <w:rPr>
                <w:sz w:val="26"/>
                <w:szCs w:val="26"/>
              </w:rPr>
              <w:t>Міський бюджет</w:t>
            </w:r>
          </w:p>
        </w:tc>
      </w:tr>
      <w:tr w14:paraId="2AA1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16" w:type="dxa"/>
            <w:vMerge w:val="restart"/>
            <w:shd w:val="clear" w:color="auto" w:fill="auto"/>
          </w:tcPr>
          <w:p w14:paraId="099EE258">
            <w:pPr>
              <w:jc w:val="center"/>
              <w:rPr>
                <w:sz w:val="26"/>
                <w:szCs w:val="26"/>
              </w:rPr>
            </w:pPr>
            <w:r>
              <w:rPr>
                <w:sz w:val="26"/>
                <w:szCs w:val="26"/>
              </w:rPr>
              <w:t>8.</w:t>
            </w:r>
          </w:p>
        </w:tc>
        <w:tc>
          <w:tcPr>
            <w:tcW w:w="3803" w:type="dxa"/>
            <w:vMerge w:val="restart"/>
            <w:tcBorders>
              <w:right w:val="single" w:color="auto" w:sz="4" w:space="0"/>
            </w:tcBorders>
            <w:shd w:val="clear" w:color="auto" w:fill="auto"/>
          </w:tcPr>
          <w:p w14:paraId="6C33C0C5">
            <w:pPr>
              <w:jc w:val="center"/>
              <w:rPr>
                <w:sz w:val="26"/>
                <w:szCs w:val="26"/>
              </w:rPr>
            </w:pPr>
            <w:r>
              <w:rPr>
                <w:sz w:val="26"/>
                <w:szCs w:val="26"/>
              </w:rPr>
              <w:t>Загальний обсяг фінансових ресурсів, необхідних для виконання Програми за кошти міського бюджету – фонд розвитку</w:t>
            </w:r>
          </w:p>
          <w:p w14:paraId="3118BB32">
            <w:pPr>
              <w:rPr>
                <w:sz w:val="26"/>
                <w:szCs w:val="26"/>
              </w:rPr>
            </w:pPr>
          </w:p>
          <w:p w14:paraId="78CC462F">
            <w:pPr>
              <w:rPr>
                <w:sz w:val="26"/>
                <w:szCs w:val="26"/>
              </w:rPr>
            </w:pPr>
          </w:p>
        </w:tc>
        <w:tc>
          <w:tcPr>
            <w:tcW w:w="5457" w:type="dxa"/>
            <w:tcBorders>
              <w:top w:val="single" w:color="auto" w:sz="4" w:space="0"/>
              <w:left w:val="single" w:color="auto" w:sz="4" w:space="0"/>
              <w:bottom w:val="nil"/>
              <w:right w:val="single" w:color="auto" w:sz="4" w:space="0"/>
            </w:tcBorders>
            <w:shd w:val="clear" w:color="auto" w:fill="auto"/>
          </w:tcPr>
          <w:p w14:paraId="4FAD83EA">
            <w:pPr>
              <w:jc w:val="center"/>
              <w:rPr>
                <w:sz w:val="26"/>
                <w:szCs w:val="26"/>
              </w:rPr>
            </w:pPr>
          </w:p>
          <w:p w14:paraId="4EAA982D">
            <w:pPr>
              <w:jc w:val="center"/>
              <w:rPr>
                <w:sz w:val="26"/>
                <w:szCs w:val="26"/>
              </w:rPr>
            </w:pPr>
          </w:p>
          <w:p w14:paraId="019CCCF8">
            <w:pPr>
              <w:jc w:val="center"/>
              <w:rPr>
                <w:sz w:val="26"/>
                <w:szCs w:val="26"/>
              </w:rPr>
            </w:pPr>
          </w:p>
          <w:p w14:paraId="776FF8AB">
            <w:pPr>
              <w:jc w:val="center"/>
              <w:rPr>
                <w:b/>
                <w:sz w:val="26"/>
                <w:szCs w:val="26"/>
              </w:rPr>
            </w:pPr>
            <w:r>
              <w:rPr>
                <w:b/>
                <w:szCs w:val="26"/>
                <w:lang w:val="ru-RU"/>
              </w:rPr>
              <w:t xml:space="preserve">300,0 </w:t>
            </w:r>
            <w:r>
              <w:rPr>
                <w:b/>
                <w:sz w:val="26"/>
                <w:szCs w:val="26"/>
              </w:rPr>
              <w:t>грн.</w:t>
            </w:r>
          </w:p>
          <w:p w14:paraId="1DA3A944">
            <w:pPr>
              <w:jc w:val="center"/>
              <w:rPr>
                <w:sz w:val="26"/>
                <w:szCs w:val="26"/>
              </w:rPr>
            </w:pPr>
          </w:p>
        </w:tc>
      </w:tr>
      <w:tr w14:paraId="1DE6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16" w:type="dxa"/>
            <w:vMerge w:val="continue"/>
            <w:shd w:val="clear" w:color="auto" w:fill="auto"/>
          </w:tcPr>
          <w:p w14:paraId="0BD4151B">
            <w:pPr>
              <w:jc w:val="center"/>
              <w:rPr>
                <w:sz w:val="26"/>
                <w:szCs w:val="26"/>
                <w:lang w:val="en-US"/>
              </w:rPr>
            </w:pPr>
          </w:p>
        </w:tc>
        <w:tc>
          <w:tcPr>
            <w:tcW w:w="3803" w:type="dxa"/>
            <w:vMerge w:val="continue"/>
            <w:tcBorders>
              <w:right w:val="single" w:color="auto" w:sz="4" w:space="0"/>
            </w:tcBorders>
            <w:shd w:val="clear" w:color="auto" w:fill="auto"/>
          </w:tcPr>
          <w:p w14:paraId="623A67A0">
            <w:pPr>
              <w:jc w:val="center"/>
              <w:rPr>
                <w:sz w:val="26"/>
                <w:szCs w:val="26"/>
              </w:rPr>
            </w:pPr>
          </w:p>
        </w:tc>
        <w:tc>
          <w:tcPr>
            <w:tcW w:w="5457" w:type="dxa"/>
            <w:tcBorders>
              <w:top w:val="nil"/>
              <w:left w:val="single" w:color="auto" w:sz="4" w:space="0"/>
              <w:bottom w:val="single" w:color="auto" w:sz="4" w:space="0"/>
              <w:right w:val="single" w:color="auto" w:sz="4" w:space="0"/>
            </w:tcBorders>
            <w:shd w:val="clear" w:color="auto" w:fill="auto"/>
          </w:tcPr>
          <w:p w14:paraId="75A65584">
            <w:pPr>
              <w:jc w:val="center"/>
              <w:rPr>
                <w:sz w:val="26"/>
                <w:szCs w:val="26"/>
              </w:rPr>
            </w:pPr>
          </w:p>
          <w:p w14:paraId="6256256D">
            <w:pPr>
              <w:jc w:val="center"/>
              <w:rPr>
                <w:sz w:val="26"/>
                <w:szCs w:val="26"/>
              </w:rPr>
            </w:pPr>
          </w:p>
        </w:tc>
      </w:tr>
    </w:tbl>
    <w:p w14:paraId="23EA2252">
      <w:pPr>
        <w:pStyle w:val="11"/>
        <w:jc w:val="both"/>
        <w:rPr>
          <w:rFonts w:ascii="Times New Roman" w:hAnsi="Times New Roman" w:cs="Times New Roman"/>
          <w:b/>
          <w:sz w:val="28"/>
          <w:szCs w:val="28"/>
        </w:rPr>
      </w:pPr>
    </w:p>
    <w:p w14:paraId="3709D34E">
      <w:pPr>
        <w:pStyle w:val="11"/>
        <w:ind w:firstLine="142"/>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охорони здоров'я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Володимир ЧУБА</w:t>
      </w:r>
    </w:p>
    <w:p w14:paraId="17D07322">
      <w:pPr>
        <w:ind w:left="5245" w:hanging="567"/>
        <w:jc w:val="right"/>
        <w:rPr>
          <w:szCs w:val="28"/>
        </w:rPr>
      </w:pPr>
      <w:r>
        <w:rPr>
          <w:szCs w:val="28"/>
        </w:rPr>
        <w:t xml:space="preserve">         Додаток до рішення  ___ сесії _____ скликання </w:t>
      </w:r>
    </w:p>
    <w:p w14:paraId="32DDAF3B">
      <w:pPr>
        <w:ind w:left="5245"/>
        <w:jc w:val="right"/>
        <w:rPr>
          <w:szCs w:val="28"/>
        </w:rPr>
      </w:pPr>
      <w:r>
        <w:rPr>
          <w:szCs w:val="28"/>
        </w:rPr>
        <w:t xml:space="preserve">Дрогобицької міської ради  </w:t>
      </w:r>
    </w:p>
    <w:p w14:paraId="1BEA5DF1">
      <w:pPr>
        <w:pStyle w:val="12"/>
        <w:spacing w:line="240" w:lineRule="auto"/>
        <w:ind w:left="4537" w:right="97" w:firstLine="708"/>
        <w:jc w:val="right"/>
        <w:rPr>
          <w:szCs w:val="28"/>
          <w:lang w:val="uk-UA"/>
        </w:rPr>
      </w:pPr>
    </w:p>
    <w:p w14:paraId="7D9826AC">
      <w:pPr>
        <w:pStyle w:val="12"/>
        <w:spacing w:line="240" w:lineRule="auto"/>
        <w:ind w:left="4537" w:right="97" w:firstLine="708"/>
        <w:jc w:val="right"/>
        <w:rPr>
          <w:szCs w:val="28"/>
        </w:rPr>
      </w:pPr>
      <w:r>
        <w:rPr>
          <w:szCs w:val="28"/>
          <w:lang w:val="uk-UA"/>
        </w:rPr>
        <w:t>«__»</w:t>
      </w:r>
      <w:r>
        <w:rPr>
          <w:szCs w:val="28"/>
        </w:rPr>
        <w:t>__</w:t>
      </w:r>
      <w:r>
        <w:rPr>
          <w:szCs w:val="28"/>
          <w:lang w:val="uk-UA"/>
        </w:rPr>
        <w:t>______</w:t>
      </w:r>
      <w:r>
        <w:rPr>
          <w:szCs w:val="28"/>
        </w:rPr>
        <w:t>20</w:t>
      </w:r>
      <w:r>
        <w:rPr>
          <w:szCs w:val="28"/>
          <w:lang w:val="uk-UA"/>
        </w:rPr>
        <w:t xml:space="preserve">__ </w:t>
      </w:r>
      <w:r>
        <w:rPr>
          <w:szCs w:val="28"/>
        </w:rPr>
        <w:t>р. № _____</w:t>
      </w:r>
    </w:p>
    <w:p w14:paraId="0EFC1FCB">
      <w:pPr>
        <w:pStyle w:val="11"/>
        <w:jc w:val="center"/>
        <w:rPr>
          <w:rFonts w:ascii="Times New Roman" w:hAnsi="Times New Roman" w:cs="Times New Roman"/>
          <w:b/>
          <w:bCs/>
          <w:sz w:val="28"/>
          <w:szCs w:val="28"/>
          <w:lang w:val="ru-RU" w:eastAsia="uk-UA"/>
        </w:rPr>
      </w:pPr>
    </w:p>
    <w:p w14:paraId="4F3CBD0E">
      <w:pPr>
        <w:pStyle w:val="11"/>
        <w:jc w:val="center"/>
        <w:rPr>
          <w:rFonts w:ascii="Times New Roman" w:hAnsi="Times New Roman" w:cs="Times New Roman"/>
          <w:b/>
          <w:bCs/>
          <w:sz w:val="28"/>
          <w:szCs w:val="28"/>
          <w:lang w:eastAsia="uk-UA"/>
        </w:rPr>
      </w:pPr>
    </w:p>
    <w:p w14:paraId="314A41A7">
      <w:pPr>
        <w:pStyle w:val="11"/>
        <w:jc w:val="center"/>
        <w:rPr>
          <w:rFonts w:ascii="Times New Roman" w:hAnsi="Times New Roman" w:cs="Times New Roman"/>
          <w:b/>
          <w:bCs/>
          <w:sz w:val="28"/>
          <w:szCs w:val="28"/>
          <w:lang w:eastAsia="uk-UA"/>
        </w:rPr>
      </w:pPr>
    </w:p>
    <w:p w14:paraId="0524ED72">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Програма розвитку та підтримки комунальних некомерційних </w:t>
      </w:r>
    </w:p>
    <w:p w14:paraId="74B5D380">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підприємств охорони здоров’я </w:t>
      </w:r>
    </w:p>
    <w:p w14:paraId="7E7FD254">
      <w:pPr>
        <w:pStyle w:val="11"/>
        <w:jc w:val="center"/>
        <w:rPr>
          <w:rFonts w:ascii="Times New Roman" w:hAnsi="Times New Roman" w:cs="Times New Roman"/>
          <w:b/>
          <w:bCs/>
          <w:sz w:val="28"/>
          <w:szCs w:val="28"/>
          <w:lang w:eastAsia="uk-UA"/>
        </w:rPr>
      </w:pPr>
      <w:r>
        <w:rPr>
          <w:rFonts w:ascii="Times New Roman" w:hAnsi="Times New Roman" w:cs="Times New Roman"/>
          <w:b/>
          <w:sz w:val="28"/>
          <w:szCs w:val="28"/>
          <w:lang w:eastAsia="uk-UA"/>
        </w:rPr>
        <w:t>Дрогобицької</w:t>
      </w:r>
      <w:r>
        <w:rPr>
          <w:rFonts w:ascii="Times New Roman" w:hAnsi="Times New Roman" w:cs="Times New Roman"/>
          <w:b/>
          <w:bCs/>
          <w:sz w:val="28"/>
          <w:szCs w:val="28"/>
          <w:lang w:eastAsia="uk-UA"/>
        </w:rPr>
        <w:t xml:space="preserve"> міської територіальної громади на 2025 р.</w:t>
      </w:r>
    </w:p>
    <w:p w14:paraId="708DA5F7">
      <w:pPr>
        <w:pStyle w:val="11"/>
        <w:jc w:val="center"/>
        <w:rPr>
          <w:rFonts w:ascii="Times New Roman" w:hAnsi="Times New Roman" w:cs="Times New Roman"/>
          <w:b/>
          <w:bCs/>
          <w:sz w:val="28"/>
          <w:szCs w:val="28"/>
          <w:lang w:eastAsia="uk-UA"/>
        </w:rPr>
      </w:pPr>
    </w:p>
    <w:p w14:paraId="1AEB5BB8">
      <w:pPr>
        <w:pStyle w:val="11"/>
        <w:jc w:val="center"/>
        <w:rPr>
          <w:rFonts w:ascii="Times New Roman" w:hAnsi="Times New Roman" w:cs="Times New Roman"/>
          <w:b/>
          <w:bCs/>
          <w:sz w:val="28"/>
          <w:szCs w:val="28"/>
          <w:lang w:eastAsia="uk-UA"/>
        </w:rPr>
      </w:pPr>
    </w:p>
    <w:p w14:paraId="795C7B05">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Загальна частина</w:t>
      </w:r>
    </w:p>
    <w:p w14:paraId="6BE86B92">
      <w:pPr>
        <w:pStyle w:val="11"/>
        <w:jc w:val="both"/>
        <w:rPr>
          <w:rFonts w:ascii="Times New Roman" w:hAnsi="Times New Roman" w:cs="Times New Roman"/>
          <w:sz w:val="28"/>
          <w:szCs w:val="28"/>
          <w:lang w:eastAsia="uk-UA"/>
        </w:rPr>
      </w:pPr>
    </w:p>
    <w:p w14:paraId="4E73AA83">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14:paraId="466141C6">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Головною метою діяльності в галузі охорони здоров'я 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1C252F22">
      <w:pPr>
        <w:pStyle w:val="11"/>
        <w:ind w:firstLine="708"/>
        <w:jc w:val="both"/>
        <w:rPr>
          <w:rFonts w:ascii="Times New Roman" w:hAnsi="Times New Roman" w:cs="Times New Roman"/>
          <w:sz w:val="28"/>
          <w:szCs w:val="28"/>
        </w:rPr>
      </w:pPr>
      <w:r>
        <w:rPr>
          <w:rFonts w:ascii="Times New Roman" w:hAnsi="Times New Roman" w:cs="Times New Roman"/>
          <w:sz w:val="28"/>
          <w:szCs w:val="28"/>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14:paraId="598DFBE6">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Значною складовою у забезпеченні висококваліфікованої медичної допомоги населенню </w:t>
      </w:r>
      <w:r>
        <w:rPr>
          <w:rFonts w:ascii="Times New Roman" w:hAnsi="Times New Roman" w:cs="Times New Roman"/>
          <w:sz w:val="28"/>
          <w:szCs w:val="28"/>
          <w:lang w:eastAsia="uk-UA"/>
        </w:rPr>
        <w:t xml:space="preserve">Дрогобицької міської територіальної громади </w:t>
      </w:r>
      <w:r>
        <w:rPr>
          <w:rFonts w:ascii="Times New Roman" w:hAnsi="Times New Roman" w:cs="Times New Roman"/>
          <w:sz w:val="28"/>
          <w:szCs w:val="28"/>
        </w:rPr>
        <w:t>є амбулаторна та стаціонарна допомога, яка здійснюється як на ліжках загальної мережі, так і у спеціалізованих відділеннях лікувально-профілактичних закладів.</w:t>
      </w:r>
    </w:p>
    <w:p w14:paraId="37058A83">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Зростання захворюваності і смертності серед дорослого населення від туберкульозу, онкології, серцево-судинних захворювань, бронхолегеневої патології, цирозу печінки, ускладнень виразкової хвороби шлунка, збільшення післяопераційних ускладнень потребує 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умовах стаціонарних відділень лікувально-профілактичних закладів міста та прийняття невідкладних заходів.</w:t>
      </w:r>
    </w:p>
    <w:p w14:paraId="6A9F82E7">
      <w:pPr>
        <w:pStyle w:val="10"/>
        <w:spacing w:after="0" w:line="240" w:lineRule="auto"/>
        <w:ind w:left="34" w:firstLine="67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Первинна медична допомога та вторинний рівень надання медичної допомоги, який в межах Дрогобицької міської територіальної громади забезпечують комунальні некомерційні підприємства – «Дрогобицька міська лікарня № 1», «Дрогобицька міська лікарня № 3», «Дрогобицька міська поліклініка», «Стебницька міська лікарня», </w:t>
      </w:r>
      <w:r>
        <w:rPr>
          <w:rFonts w:ascii="Times New Roman" w:hAnsi="Times New Roman"/>
          <w:sz w:val="28"/>
          <w:szCs w:val="28"/>
        </w:rPr>
        <w:t>«Дрогобицька районна поліклініка», «Болехівська амбулаторія загальної практики сімейної медицини» Дрогобицької міської ради,</w:t>
      </w:r>
      <w:r>
        <w:rPr>
          <w:rFonts w:ascii="Times New Roman" w:hAnsi="Times New Roman" w:cs="Times New Roman"/>
          <w:sz w:val="28"/>
          <w:szCs w:val="28"/>
          <w:lang w:eastAsia="uk-UA"/>
        </w:rPr>
        <w:t xml:space="preserve"> які є важливою складовою частиною системи охорони здоров’я.</w:t>
      </w:r>
    </w:p>
    <w:p w14:paraId="046DC46B">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Програма розвитку, підтримки комунальних підприємств охорони здоров’я Дрогобицької міської територіальної громади на 2025 р. (далі – Програма) розроблена на підставі </w:t>
      </w:r>
      <w:r>
        <w:rPr>
          <w:rFonts w:ascii="Times New Roman" w:hAnsi="Times New Roman" w:cs="Times New Roman"/>
          <w:sz w:val="28"/>
          <w:szCs w:val="28"/>
        </w:rPr>
        <w:t>Конституції України,</w:t>
      </w:r>
      <w:r>
        <w:rPr>
          <w:rFonts w:ascii="Times New Roman" w:hAnsi="Times New Roman" w:cs="Times New Roman"/>
          <w:sz w:val="28"/>
          <w:szCs w:val="28"/>
          <w:lang w:eastAsia="uk-UA"/>
        </w:rPr>
        <w:t xml:space="preserve">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визначає перспективи розвитку галузі охорони здоров’я Дрогобицької міської територіальної громади.</w:t>
      </w:r>
    </w:p>
    <w:p w14:paraId="0214F0F3">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орієнтована на забезпечення надання якісної медичної допомоги на первинному та вторинному рівні всім верствам населення за рахунок розвитку існуючих в мережі підприємств охорони здоров'я – надавачів медичних послуг.</w:t>
      </w:r>
    </w:p>
    <w:p w14:paraId="786C56F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підприємства є підпорядкованими, підзвітними та підконтрольними Засновнику – Дрогобицькій міській раді ( Власнику ) та відділу охорони здоров'я виконавчих органів Дрогобицької міської ради – Уповноваженому органу управління.</w:t>
      </w:r>
    </w:p>
    <w:p w14:paraId="6F5146E1">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некомерційні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регіональних та місцевих програм у сфері охорони здоров’я.</w:t>
      </w:r>
    </w:p>
    <w:p w14:paraId="1C190DF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Актуальність Програми продиктована необхідністю покращення якості надання та доступності медичної допомоги населенню Дрогобицької міської територіальної громади, поліпшення матеріально-технічної бази закладів, створення необхідних умов для перебування пацієнтів та роботи медичного персоналу. 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Дрогобицької міської територіальної громади.</w:t>
      </w:r>
    </w:p>
    <w:p w14:paraId="083989B0">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У комунальних підприємствах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14:paraId="2263C6F5">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Дата, номер і назва розпорядчого документа на підставі якого здійснено розробку Програми:</w:t>
      </w:r>
    </w:p>
    <w:p w14:paraId="68D46A4F">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«Основи законодавства України про охорону здоров’я» від 19 листопада 1992 року № 2801-XII;</w:t>
      </w:r>
    </w:p>
    <w:p w14:paraId="37FF5994">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«Про державні фінансові гарантії медичного обслуговування населення» від 19 жовтня 2017 року № 2168-VIII;</w:t>
      </w:r>
    </w:p>
    <w:p w14:paraId="5A1C466D">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Бюджетний кодекс України від 8 липня 2010 року № 2456-VI.</w:t>
      </w:r>
    </w:p>
    <w:p w14:paraId="09C69E44">
      <w:pPr>
        <w:pStyle w:val="11"/>
        <w:jc w:val="center"/>
        <w:rPr>
          <w:rFonts w:ascii="Times New Roman" w:hAnsi="Times New Roman" w:cs="Times New Roman"/>
          <w:b/>
          <w:bCs/>
          <w:sz w:val="28"/>
          <w:szCs w:val="28"/>
          <w:lang w:eastAsia="uk-UA"/>
        </w:rPr>
      </w:pPr>
    </w:p>
    <w:p w14:paraId="23B241F0">
      <w:pPr>
        <w:pStyle w:val="11"/>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2. </w:t>
      </w:r>
      <w:r>
        <w:rPr>
          <w:rFonts w:ascii="Times New Roman" w:hAnsi="Times New Roman" w:cs="Times New Roman"/>
          <w:b/>
          <w:sz w:val="28"/>
          <w:szCs w:val="28"/>
        </w:rPr>
        <w:t>Визначення проблеми, на розв`язання якої спрямована Програма</w:t>
      </w:r>
    </w:p>
    <w:p w14:paraId="0898669D">
      <w:pPr>
        <w:pStyle w:val="11"/>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59A54104">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Протягом останніх років вирішено ряд завдань спрямованих на забезпечення прав громадян громади на якісну та доступну медичну допомогу як на первинному, так і на вторинному рівні, створення належних умов для перебування пацієнтів в закладах охорони здоров’я та роботи медичного персоналу. Вдалось частково покращити матеріально-технічне, організаційне, кадрове та медикаментозне забезпечення закладів.</w:t>
      </w:r>
    </w:p>
    <w:p w14:paraId="33BC2832">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Реформування галузі охорони здоров’я громади, 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14:paraId="545ED5A9">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w:t>
      </w:r>
    </w:p>
    <w:p w14:paraId="5537A9E2">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rPr>
        <w:t>Отже, без належної фінансової підтримки, неможливий подальший розвиток комунальних некомерційних підприємств охорони здоров`я</w:t>
      </w:r>
      <w:r>
        <w:rPr>
          <w:rFonts w:ascii="Times New Roman" w:hAnsi="Times New Roman" w:cs="Times New Roman"/>
          <w:sz w:val="28"/>
          <w:szCs w:val="28"/>
          <w:lang w:eastAsia="uk-UA"/>
        </w:rPr>
        <w:t xml:space="preserve"> Дрогобицької міської територіальної громади</w:t>
      </w:r>
      <w:r>
        <w:rPr>
          <w:rFonts w:ascii="Times New Roman" w:hAnsi="Times New Roman" w:cs="Times New Roman"/>
          <w:sz w:val="28"/>
          <w:szCs w:val="28"/>
        </w:rPr>
        <w:t>. Прийняття Програми дає можливість значно покращити надання медичних послуг населення та збереження їх здоров'я.</w:t>
      </w:r>
    </w:p>
    <w:p w14:paraId="537D15BF">
      <w:pPr>
        <w:pStyle w:val="11"/>
        <w:jc w:val="center"/>
        <w:rPr>
          <w:rFonts w:ascii="Times New Roman" w:hAnsi="Times New Roman" w:cs="Times New Roman"/>
          <w:b/>
          <w:bCs/>
          <w:sz w:val="28"/>
          <w:szCs w:val="28"/>
          <w:lang w:eastAsia="uk-UA"/>
        </w:rPr>
      </w:pPr>
    </w:p>
    <w:p w14:paraId="00B827A4">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3. Мета Програми</w:t>
      </w:r>
    </w:p>
    <w:p w14:paraId="33D57D98">
      <w:pPr>
        <w:pStyle w:val="11"/>
        <w:jc w:val="center"/>
        <w:rPr>
          <w:rFonts w:ascii="Times New Roman" w:hAnsi="Times New Roman" w:cs="Times New Roman"/>
          <w:sz w:val="28"/>
          <w:szCs w:val="28"/>
          <w:lang w:eastAsia="uk-UA"/>
        </w:rPr>
      </w:pPr>
    </w:p>
    <w:p w14:paraId="204000D8">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Метою Програми є збереження та зміцнення здоров’я мешканців Дрогобицької міської територіальної громади, фінансова підтримка заходів направлених на підвищення якості та ефективності надання медичної допомоги, забезпечення захисту прав громадян на охорону здоров’я. Окремо визначена мета – зміцнення матеріально-технічної бази, поточний та капітальний ремонт, реконструкція будівель, фінансова підтримка закладів охорони здоров'я Дрогобицької міської територіальної громади.</w:t>
      </w:r>
    </w:p>
    <w:p w14:paraId="526D2E87">
      <w:pPr>
        <w:pStyle w:val="11"/>
        <w:jc w:val="center"/>
        <w:rPr>
          <w:rFonts w:ascii="Times New Roman" w:hAnsi="Times New Roman" w:cs="Times New Roman"/>
          <w:b/>
          <w:bCs/>
          <w:sz w:val="28"/>
          <w:szCs w:val="28"/>
          <w:lang w:eastAsia="uk-UA"/>
        </w:rPr>
      </w:pPr>
    </w:p>
    <w:p w14:paraId="419EE140">
      <w:pPr>
        <w:pStyle w:val="11"/>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4. </w:t>
      </w:r>
      <w:r>
        <w:rPr>
          <w:rFonts w:ascii="Times New Roman" w:hAnsi="Times New Roman" w:cs="Times New Roman"/>
          <w:b/>
          <w:sz w:val="28"/>
          <w:szCs w:val="28"/>
        </w:rPr>
        <w:t>Завдання та напрями виконання Програми</w:t>
      </w:r>
    </w:p>
    <w:p w14:paraId="07341B23">
      <w:pPr>
        <w:pStyle w:val="11"/>
        <w:jc w:val="center"/>
        <w:rPr>
          <w:rFonts w:ascii="Times New Roman" w:hAnsi="Times New Roman" w:cs="Times New Roman"/>
          <w:sz w:val="28"/>
          <w:szCs w:val="28"/>
          <w:lang w:eastAsia="uk-UA"/>
        </w:rPr>
      </w:pPr>
    </w:p>
    <w:p w14:paraId="7501BABE">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Досягнення визначеної мети Програми можливе шляхом:</w:t>
      </w:r>
    </w:p>
    <w:p w14:paraId="5E661198">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 Надання фінансової підтримки комунальним підприємствам на безповоротній основі на покриття (відшкодування) поточних витрат комунальних підприємств, які виникають в процесі їх господарської діяльності, і у разі якщо такі витрати не покриваються доходами підприємства:</w:t>
      </w:r>
    </w:p>
    <w:p w14:paraId="0CBDD6C1">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1.1. оновлення матеріально-технічної бази, придбання сучасного </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медичного обладнання, придбання лікарських засобів та предметів медичного призначення.</w:t>
      </w:r>
    </w:p>
    <w:p w14:paraId="69E4581E">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1.2.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14:paraId="781564F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w:t>
      </w:r>
      <w:r>
        <w:rPr>
          <w:rFonts w:ascii="Times New Roman" w:hAnsi="Times New Roman" w:cs="Times New Roman"/>
          <w:sz w:val="28"/>
          <w:szCs w:val="28"/>
          <w:lang w:val="ru-RU" w:eastAsia="uk-UA"/>
        </w:rPr>
        <w:t>3</w:t>
      </w:r>
      <w:r>
        <w:rPr>
          <w:rFonts w:ascii="Times New Roman" w:hAnsi="Times New Roman" w:cs="Times New Roman"/>
          <w:sz w:val="28"/>
          <w:szCs w:val="28"/>
          <w:lang w:eastAsia="uk-UA"/>
        </w:rPr>
        <w:t xml:space="preserve">. проведення капітального ремонту та реконструкції приміщень, що є власністю Дрогобицької міської територіальної громади та передані у оперативне управління комунальних некомерційних підприємств закладів охорони здоров'я. </w:t>
      </w:r>
    </w:p>
    <w:p w14:paraId="67CF5169">
      <w:pPr>
        <w:pStyle w:val="11"/>
        <w:jc w:val="center"/>
        <w:rPr>
          <w:rFonts w:ascii="Times New Roman" w:hAnsi="Times New Roman" w:cs="Times New Roman"/>
          <w:b/>
          <w:bCs/>
          <w:sz w:val="28"/>
          <w:szCs w:val="28"/>
          <w:lang w:eastAsia="uk-UA"/>
        </w:rPr>
      </w:pPr>
    </w:p>
    <w:p w14:paraId="177328C0">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5. Обсяг та джерела фінансування Програми</w:t>
      </w:r>
    </w:p>
    <w:p w14:paraId="37EF0E0A">
      <w:pPr>
        <w:pStyle w:val="11"/>
        <w:jc w:val="center"/>
        <w:rPr>
          <w:rFonts w:ascii="Times New Roman" w:hAnsi="Times New Roman" w:cs="Times New Roman"/>
          <w:sz w:val="28"/>
          <w:szCs w:val="28"/>
          <w:lang w:eastAsia="uk-UA"/>
        </w:rPr>
      </w:pPr>
    </w:p>
    <w:p w14:paraId="68FA69A0">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Фінансування завдань та заходів Програми здійснюється за рахунок коштів бюджету територіальної громади Дрогобицької міської ради. Фінансування заходів Програми здійснюється у межах видатків, передбачених в бюджеті Дрогобицької міської територіальної громади. Обсяг бюджетних коштів визначається виходячи із фінансової можливості бюджету Дрогобицької міської територіальної громади.</w:t>
      </w:r>
    </w:p>
    <w:p w14:paraId="69B310B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Кошти, отримані за результатами діяльності, використовуються комунальними некомерційними підприємствами охорони здоров'я на виконання запланованих заходів Програми.</w:t>
      </w:r>
    </w:p>
    <w:p w14:paraId="15952469">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Фінансова підтримка є безповоротною. Прогнозовані суми фінансової підтримки наведені в додатку до Програми та можуть бути змінені в залежності від обставин,  шляхом прийняття відповідних змін до бюджету Дрогобицької міської територіальної громади.</w:t>
      </w:r>
    </w:p>
    <w:p w14:paraId="15A2812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Виконання Програми у повному обсязі можливе лише за умови стабільного фінансування її складових.</w:t>
      </w:r>
    </w:p>
    <w:p w14:paraId="164160B4">
      <w:pPr>
        <w:pStyle w:val="11"/>
        <w:ind w:firstLine="708"/>
        <w:jc w:val="both"/>
        <w:rPr>
          <w:rFonts w:ascii="Times New Roman" w:hAnsi="Times New Roman" w:cs="Times New Roman"/>
          <w:sz w:val="28"/>
          <w:szCs w:val="28"/>
          <w:lang w:eastAsia="uk-UA"/>
        </w:rPr>
      </w:pPr>
    </w:p>
    <w:p w14:paraId="6527A152">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6. Очікувані результати виконання Програми</w:t>
      </w:r>
    </w:p>
    <w:p w14:paraId="3C64AF04">
      <w:pPr>
        <w:pStyle w:val="11"/>
        <w:jc w:val="center"/>
        <w:rPr>
          <w:rFonts w:ascii="Times New Roman" w:hAnsi="Times New Roman" w:cs="Times New Roman"/>
          <w:sz w:val="28"/>
          <w:szCs w:val="28"/>
          <w:lang w:eastAsia="uk-UA"/>
        </w:rPr>
      </w:pPr>
    </w:p>
    <w:p w14:paraId="7D9AF953">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14:paraId="3D5BF34B">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Виконання Програми дасть змогу підвищити ефективність роботи закладів охорони здоров’я Дрогобицької міської територіальної громади, покращити забезпечення амбулаторних та стаціонарних підрозділів підприємств медичною апаратурою,  обладнанням та інструментарієм відповідно до </w:t>
      </w:r>
      <w:r>
        <w:rPr>
          <w:rFonts w:ascii="Times New Roman" w:hAnsi="Times New Roman" w:cs="Times New Roman"/>
          <w:sz w:val="28"/>
          <w:szCs w:val="28"/>
          <w:shd w:val="clear" w:color="auto" w:fill="FFFFFF"/>
        </w:rPr>
        <w:t>Постанови Кабінету Міністрів України від 02.03.2016 р. № 285 «Про затвердження Ліцензійних умов провадження господарської діяльності з медичної практики»</w:t>
      </w:r>
      <w:r>
        <w:rPr>
          <w:rFonts w:ascii="Times New Roman" w:hAnsi="Times New Roman" w:cs="Times New Roman"/>
          <w:sz w:val="28"/>
          <w:szCs w:val="28"/>
          <w:lang w:eastAsia="uk-UA"/>
        </w:rPr>
        <w:t>.</w:t>
      </w:r>
    </w:p>
    <w:p w14:paraId="66AAF5D3">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7. Координація та контроль за ходом виконання Програми</w:t>
      </w:r>
    </w:p>
    <w:p w14:paraId="41D22604">
      <w:pPr>
        <w:pStyle w:val="11"/>
        <w:jc w:val="center"/>
        <w:rPr>
          <w:rFonts w:ascii="Times New Roman" w:hAnsi="Times New Roman" w:cs="Times New Roman"/>
          <w:b/>
          <w:bCs/>
          <w:sz w:val="28"/>
          <w:szCs w:val="28"/>
          <w:lang w:eastAsia="uk-UA"/>
        </w:rPr>
      </w:pPr>
    </w:p>
    <w:p w14:paraId="35ECFD83">
      <w:pPr>
        <w:pStyle w:val="11"/>
        <w:ind w:firstLine="708"/>
        <w:jc w:val="both"/>
        <w:rPr>
          <w:rFonts w:ascii="Times New Roman" w:hAnsi="Times New Roman" w:cs="Times New Roman"/>
          <w:sz w:val="28"/>
          <w:szCs w:val="28"/>
        </w:rPr>
      </w:pPr>
      <w:r>
        <w:rPr>
          <w:rFonts w:ascii="Times New Roman" w:hAnsi="Times New Roman" w:cs="Times New Roman"/>
          <w:sz w:val="28"/>
          <w:szCs w:val="28"/>
          <w:lang w:eastAsia="uk-UA"/>
        </w:rPr>
        <w:t>Координацію дій між виконавцями Програми та контроль за її виконанням здійснює Уповноважений орган</w:t>
      </w:r>
      <w:r>
        <w:rPr>
          <w:rFonts w:ascii="Times New Roman" w:hAnsi="Times New Roman" w:cs="Times New Roman"/>
          <w:sz w:val="28"/>
          <w:szCs w:val="28"/>
        </w:rPr>
        <w:t xml:space="preserve"> – відділ охорони здоров`я виконавчих органів Дрогобицької міської ради.</w:t>
      </w:r>
      <w:r>
        <w:rPr>
          <w:rFonts w:ascii="Times New Roman" w:hAnsi="Times New Roman" w:cs="Times New Roman"/>
          <w:sz w:val="28"/>
          <w:szCs w:val="28"/>
        </w:rPr>
        <w:tab/>
      </w:r>
    </w:p>
    <w:p w14:paraId="5FC64A81">
      <w:pPr>
        <w:pStyle w:val="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Головний розпорядник коштів міського бюджету щомісячно проводить аналіз результатів фінансово-господарської діяльності отримувачів фінансової підтримки, стану та ефективності використання бюджетних коштів на надання фінансової підтримки та надає фінансовому управлінню Дрогобицької міської ради пропозиції щодо коригування суми фінансової допомоги.</w:t>
      </w:r>
    </w:p>
    <w:p w14:paraId="55250E61">
      <w:pPr>
        <w:pStyle w:val="11"/>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8. Прикінцеві положення</w:t>
      </w:r>
    </w:p>
    <w:p w14:paraId="09A57F13">
      <w:pPr>
        <w:pStyle w:val="11"/>
        <w:jc w:val="center"/>
        <w:rPr>
          <w:rFonts w:ascii="Times New Roman" w:hAnsi="Times New Roman" w:cs="Times New Roman"/>
          <w:sz w:val="28"/>
          <w:szCs w:val="28"/>
          <w:lang w:eastAsia="uk-UA"/>
        </w:rPr>
      </w:pPr>
    </w:p>
    <w:p w14:paraId="2D08BB98">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визначає мету, завдання і шляхи розвитку первинного та вторинного рівнів надання медичної допомоги населенню Дрогобицької міської територіальної громади на 2025 р., враховуючи стратегічні завдання та прогнозовані обсяги фінансового забезпечення.</w:t>
      </w:r>
    </w:p>
    <w:p w14:paraId="431178D5">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має відкритий характер і може доповнюватись (змінюватись) в установленому чинним законодавством порядку.</w:t>
      </w:r>
    </w:p>
    <w:p w14:paraId="10554937">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розрахована на 2025 рік, має завдання, які направлені на виконання заходів Програми, адаптованих до рівня потреб та можливостей Дрогобицької міської територіальної громади.</w:t>
      </w:r>
    </w:p>
    <w:p w14:paraId="32E6818C">
      <w:pPr>
        <w:pStyle w:val="11"/>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Для якісної підготовки матеріалів щодо формування показників Програми, заклади охорони здоров’я подають Уповноваженому органу, план відповідних заходів, з економічно обґрунтованими розрахунками.</w:t>
      </w:r>
    </w:p>
    <w:p w14:paraId="5004A509">
      <w:pPr>
        <w:pStyle w:val="11"/>
        <w:jc w:val="both"/>
        <w:rPr>
          <w:rFonts w:ascii="Times New Roman" w:hAnsi="Times New Roman" w:cs="Times New Roman"/>
          <w:sz w:val="28"/>
          <w:szCs w:val="28"/>
          <w:lang w:eastAsia="uk-UA"/>
        </w:rPr>
      </w:pPr>
      <w:r>
        <w:rPr>
          <w:rFonts w:ascii="Times New Roman" w:hAnsi="Times New Roman" w:cs="Times New Roman"/>
          <w:sz w:val="28"/>
          <w:szCs w:val="28"/>
          <w:lang w:eastAsia="uk-UA"/>
        </w:rPr>
        <w:t> </w:t>
      </w:r>
    </w:p>
    <w:p w14:paraId="5D3C278E">
      <w:pPr>
        <w:pStyle w:val="11"/>
        <w:jc w:val="both"/>
        <w:rPr>
          <w:rFonts w:ascii="Times New Roman" w:hAnsi="Times New Roman" w:cs="Times New Roman"/>
          <w:sz w:val="28"/>
          <w:szCs w:val="28"/>
          <w:lang w:eastAsia="uk-UA"/>
        </w:rPr>
      </w:pPr>
    </w:p>
    <w:p w14:paraId="100ACA93">
      <w:pPr>
        <w:pStyle w:val="11"/>
        <w:jc w:val="both"/>
        <w:rPr>
          <w:rFonts w:ascii="Times New Roman" w:hAnsi="Times New Roman" w:cs="Times New Roman"/>
          <w:sz w:val="28"/>
          <w:szCs w:val="28"/>
          <w:lang w:eastAsia="uk-UA"/>
        </w:rPr>
      </w:pPr>
    </w:p>
    <w:p w14:paraId="67C651E5">
      <w:pPr>
        <w:pStyle w:val="11"/>
        <w:jc w:val="both"/>
        <w:rPr>
          <w:rFonts w:ascii="Times New Roman" w:hAnsi="Times New Roman" w:cs="Times New Roman"/>
          <w:b/>
          <w:sz w:val="28"/>
          <w:szCs w:val="28"/>
        </w:rPr>
      </w:pPr>
    </w:p>
    <w:p w14:paraId="3E4099D4">
      <w:pPr>
        <w:pStyle w:val="11"/>
        <w:ind w:firstLine="142"/>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охорони здоров'я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Володимир ЧУБА</w:t>
      </w:r>
    </w:p>
    <w:p w14:paraId="4F5A3979"/>
    <w:p w14:paraId="535BC088"/>
    <w:sectPr>
      <w:pgSz w:w="11906" w:h="16838"/>
      <w:pgMar w:top="1134" w:right="850" w:bottom="1134" w:left="1701" w:header="708" w:footer="708"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7723D"/>
    <w:rsid w:val="0000249F"/>
    <w:rsid w:val="00010831"/>
    <w:rsid w:val="00070C7A"/>
    <w:rsid w:val="000A65FE"/>
    <w:rsid w:val="000F6E6C"/>
    <w:rsid w:val="00116113"/>
    <w:rsid w:val="00187974"/>
    <w:rsid w:val="001A465C"/>
    <w:rsid w:val="0027723D"/>
    <w:rsid w:val="002B3CDE"/>
    <w:rsid w:val="002D2C9E"/>
    <w:rsid w:val="002F0F6E"/>
    <w:rsid w:val="00354B27"/>
    <w:rsid w:val="00390FED"/>
    <w:rsid w:val="00407EAF"/>
    <w:rsid w:val="00441734"/>
    <w:rsid w:val="0048053D"/>
    <w:rsid w:val="004C55CA"/>
    <w:rsid w:val="005031FA"/>
    <w:rsid w:val="00504EE7"/>
    <w:rsid w:val="00532D82"/>
    <w:rsid w:val="005C12B7"/>
    <w:rsid w:val="005D68BD"/>
    <w:rsid w:val="005F12EB"/>
    <w:rsid w:val="005F32AF"/>
    <w:rsid w:val="00697DB3"/>
    <w:rsid w:val="006B2292"/>
    <w:rsid w:val="007228F5"/>
    <w:rsid w:val="00773627"/>
    <w:rsid w:val="00795608"/>
    <w:rsid w:val="007F5058"/>
    <w:rsid w:val="008157EA"/>
    <w:rsid w:val="00826079"/>
    <w:rsid w:val="008437DF"/>
    <w:rsid w:val="008A2060"/>
    <w:rsid w:val="008B32CD"/>
    <w:rsid w:val="008F7E23"/>
    <w:rsid w:val="00925478"/>
    <w:rsid w:val="00986923"/>
    <w:rsid w:val="00A30412"/>
    <w:rsid w:val="00A553A2"/>
    <w:rsid w:val="00A67EB3"/>
    <w:rsid w:val="00AC0B21"/>
    <w:rsid w:val="00AC6469"/>
    <w:rsid w:val="00AE5344"/>
    <w:rsid w:val="00B700B2"/>
    <w:rsid w:val="00BA15AA"/>
    <w:rsid w:val="00BA2C49"/>
    <w:rsid w:val="00C60E27"/>
    <w:rsid w:val="00C935DB"/>
    <w:rsid w:val="00CB7BCF"/>
    <w:rsid w:val="00CC08D1"/>
    <w:rsid w:val="00D421AE"/>
    <w:rsid w:val="00D54D80"/>
    <w:rsid w:val="00D6132B"/>
    <w:rsid w:val="00D708D6"/>
    <w:rsid w:val="00D871A5"/>
    <w:rsid w:val="00D87837"/>
    <w:rsid w:val="00DF58D4"/>
    <w:rsid w:val="00E36C14"/>
    <w:rsid w:val="00E41571"/>
    <w:rsid w:val="00E47D34"/>
    <w:rsid w:val="00F04631"/>
    <w:rsid w:val="00F344F7"/>
    <w:rsid w:val="00F53D83"/>
    <w:rsid w:val="00F71C90"/>
    <w:rsid w:val="00FD6D7A"/>
    <w:rsid w:val="00FD73E7"/>
    <w:rsid w:val="00FF2FF4"/>
    <w:rsid w:val="08253E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8"/>
      <w:szCs w:val="24"/>
      <w:lang w:val="uk-UA" w:eastAsia="ru-RU" w:bidi="ar-SA"/>
    </w:rPr>
  </w:style>
  <w:style w:type="paragraph" w:styleId="2">
    <w:name w:val="heading 2"/>
    <w:basedOn w:val="1"/>
    <w:next w:val="1"/>
    <w:link w:val="8"/>
    <w:qFormat/>
    <w:uiPriority w:val="0"/>
    <w:pPr>
      <w:keepNext/>
      <w:spacing w:line="360" w:lineRule="auto"/>
      <w:jc w:val="center"/>
      <w:outlineLvl w:val="1"/>
    </w:pPr>
    <w:rPr>
      <w:b/>
      <w:szCs w:val="20"/>
      <w:lang w:val="ru-RU"/>
    </w:rPr>
  </w:style>
  <w:style w:type="paragraph" w:styleId="3">
    <w:name w:val="heading 5"/>
    <w:basedOn w:val="1"/>
    <w:next w:val="1"/>
    <w:link w:val="9"/>
    <w:qFormat/>
    <w:uiPriority w:val="0"/>
    <w:pPr>
      <w:keepNext/>
      <w:spacing w:line="360" w:lineRule="auto"/>
      <w:jc w:val="center"/>
      <w:outlineLvl w:val="4"/>
    </w:pPr>
    <w:rPr>
      <w:b/>
      <w:sz w:val="32"/>
      <w:szCs w:val="20"/>
      <w:lang w:val="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Balloon Text"/>
    <w:basedOn w:val="1"/>
    <w:link w:val="13"/>
    <w:semiHidden/>
    <w:unhideWhenUsed/>
    <w:qFormat/>
    <w:uiPriority w:val="99"/>
    <w:rPr>
      <w:rFonts w:ascii="Tahoma" w:hAnsi="Tahoma" w:cs="Tahoma"/>
      <w:sz w:val="16"/>
      <w:szCs w:val="16"/>
    </w:rPr>
  </w:style>
  <w:style w:type="character" w:customStyle="1" w:styleId="8">
    <w:name w:val="Заголовок 2 Знак"/>
    <w:basedOn w:val="4"/>
    <w:link w:val="2"/>
    <w:uiPriority w:val="0"/>
    <w:rPr>
      <w:rFonts w:ascii="Times New Roman" w:hAnsi="Times New Roman" w:eastAsia="Times New Roman" w:cs="Times New Roman"/>
      <w:b/>
      <w:sz w:val="28"/>
      <w:szCs w:val="20"/>
      <w:lang w:val="ru-RU" w:eastAsia="ru-RU"/>
    </w:rPr>
  </w:style>
  <w:style w:type="character" w:customStyle="1" w:styleId="9">
    <w:name w:val="Заголовок 5 Знак"/>
    <w:basedOn w:val="4"/>
    <w:link w:val="3"/>
    <w:uiPriority w:val="0"/>
    <w:rPr>
      <w:rFonts w:ascii="Times New Roman" w:hAnsi="Times New Roman" w:eastAsia="Times New Roman" w:cs="Times New Roman"/>
      <w:b/>
      <w:sz w:val="32"/>
      <w:szCs w:val="20"/>
      <w:lang w:val="ru-RU" w:eastAsia="ru-RU"/>
    </w:rPr>
  </w:style>
  <w:style w:type="paragraph" w:styleId="1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paragraph" w:styleId="11">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12">
    <w:name w:val="pz_vb-48p"/>
    <w:basedOn w:val="1"/>
    <w:uiPriority w:val="0"/>
    <w:pPr>
      <w:spacing w:line="960" w:lineRule="exact"/>
      <w:jc w:val="center"/>
    </w:pPr>
    <w:rPr>
      <w:szCs w:val="20"/>
      <w:lang w:val="ru-RU"/>
    </w:rPr>
  </w:style>
  <w:style w:type="character" w:customStyle="1" w:styleId="13">
    <w:name w:val="Текст у виносці Знак"/>
    <w:basedOn w:val="4"/>
    <w:link w:val="7"/>
    <w:semiHidden/>
    <w:uiPriority w:val="99"/>
    <w:rPr>
      <w:rFonts w:ascii="Tahoma" w:hAnsi="Tahoma" w:eastAsia="Times New Roman" w:cs="Tahoma"/>
      <w:sz w:val="16"/>
      <w:szCs w:val="16"/>
      <w:lang w:eastAsia="ru-RU"/>
    </w:rPr>
  </w:style>
  <w:style w:type="character" w:customStyle="1" w:styleId="14">
    <w:name w:val="docdata"/>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6</Pages>
  <Words>9059</Words>
  <Characters>5164</Characters>
  <Lines>43</Lines>
  <Paragraphs>28</Paragraphs>
  <TotalTime>340</TotalTime>
  <ScaleCrop>false</ScaleCrop>
  <LinksUpToDate>false</LinksUpToDate>
  <CharactersWithSpaces>14195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2023-02-14T08:37:00Z</dcterms:created>
  <dc:creator>User</dc:creator>
  <cp:lastModifiedBy>Відділ ІТ та ана�</cp:lastModifiedBy>
  <cp:lastPrinted>2025-03-10T14:29:00Z</cp:lastPrinted>
  <dcterms:modified xsi:type="dcterms:W3CDTF">2025-03-13T06:42:04Z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832340FA31DC4E2488EC3BBD4CE05644_12</vt:lpwstr>
  </property>
</Properties>
</file>