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A68DC">
      <w:pPr>
        <w:pStyle w:val="10"/>
        <w:jc w:val="right"/>
        <w:rPr>
          <w:rFonts w:ascii="Times New Roman" w:hAnsi="Times New Roman" w:cs="Times New Roman"/>
          <w:sz w:val="28"/>
          <w:szCs w:val="28"/>
          <w:lang w:eastAsia="uk-UA"/>
        </w:rPr>
      </w:pPr>
      <w:bookmarkStart w:id="0" w:name="_GoBack"/>
      <w:bookmarkEnd w:id="0"/>
      <w:r>
        <w:rPr>
          <w:rFonts w:ascii="Times New Roman" w:hAnsi="Times New Roman" w:cs="Times New Roman"/>
          <w:sz w:val="28"/>
          <w:szCs w:val="28"/>
          <w:lang w:eastAsia="uk-UA"/>
        </w:rPr>
        <w:t>Додаток до рішення</w:t>
      </w:r>
    </w:p>
    <w:p w14:paraId="5355B017">
      <w:pPr>
        <w:pStyle w:val="10"/>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    ___сесії _____скликання </w:t>
      </w:r>
    </w:p>
    <w:p w14:paraId="195138FA">
      <w:pPr>
        <w:pStyle w:val="10"/>
        <w:jc w:val="right"/>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Дрогобицької міської ради  </w:t>
      </w:r>
    </w:p>
    <w:p w14:paraId="5C038165">
      <w:pPr>
        <w:pStyle w:val="10"/>
        <w:jc w:val="right"/>
        <w:rPr>
          <w:rFonts w:ascii="Times New Roman" w:hAnsi="Times New Roman" w:cs="Times New Roman"/>
          <w:sz w:val="28"/>
          <w:szCs w:val="28"/>
          <w:lang w:eastAsia="uk-UA"/>
        </w:rPr>
      </w:pPr>
      <w:r>
        <w:rPr>
          <w:rFonts w:ascii="Times New Roman" w:hAnsi="Times New Roman" w:cs="Times New Roman"/>
          <w:sz w:val="28"/>
          <w:szCs w:val="28"/>
          <w:lang w:eastAsia="uk-UA"/>
        </w:rPr>
        <w:t>«___»_________2025 р. №_____</w:t>
      </w:r>
    </w:p>
    <w:p w14:paraId="0D87F0D6">
      <w:pPr>
        <w:pStyle w:val="10"/>
        <w:jc w:val="center"/>
        <w:rPr>
          <w:rFonts w:ascii="Times New Roman" w:hAnsi="Times New Roman" w:cs="Times New Roman"/>
          <w:b/>
          <w:sz w:val="32"/>
          <w:szCs w:val="32"/>
          <w:lang w:eastAsia="uk-UA"/>
        </w:rPr>
      </w:pPr>
    </w:p>
    <w:p w14:paraId="332EFFDC">
      <w:pPr>
        <w:pStyle w:val="10"/>
        <w:jc w:val="center"/>
        <w:rPr>
          <w:rFonts w:ascii="Times New Roman" w:hAnsi="Times New Roman" w:cs="Times New Roman"/>
          <w:b/>
          <w:sz w:val="32"/>
          <w:szCs w:val="32"/>
          <w:lang w:eastAsia="uk-UA"/>
        </w:rPr>
      </w:pPr>
    </w:p>
    <w:p w14:paraId="2D1A64A7">
      <w:pPr>
        <w:pStyle w:val="10"/>
        <w:jc w:val="center"/>
        <w:rPr>
          <w:rFonts w:ascii="Times New Roman" w:hAnsi="Times New Roman" w:cs="Times New Roman"/>
          <w:b/>
          <w:sz w:val="32"/>
          <w:szCs w:val="32"/>
          <w:lang w:eastAsia="uk-UA"/>
        </w:rPr>
      </w:pPr>
    </w:p>
    <w:p w14:paraId="68942A51">
      <w:pPr>
        <w:pStyle w:val="10"/>
        <w:jc w:val="center"/>
        <w:rPr>
          <w:rFonts w:ascii="Times New Roman" w:hAnsi="Times New Roman" w:cs="Times New Roman"/>
          <w:b/>
          <w:sz w:val="32"/>
          <w:szCs w:val="32"/>
          <w:lang w:eastAsia="uk-UA"/>
        </w:rPr>
      </w:pPr>
      <w:r>
        <w:rPr>
          <w:rFonts w:ascii="Times New Roman" w:hAnsi="Times New Roman" w:cs="Times New Roman"/>
          <w:b/>
          <w:sz w:val="32"/>
          <w:szCs w:val="32"/>
          <w:lang w:eastAsia="uk-UA"/>
        </w:rPr>
        <w:t>ПРОГРАМА</w:t>
      </w:r>
    </w:p>
    <w:p w14:paraId="1728427D">
      <w:pPr>
        <w:pStyle w:val="10"/>
        <w:jc w:val="center"/>
        <w:rPr>
          <w:rFonts w:ascii="Times New Roman" w:hAnsi="Times New Roman" w:cs="Times New Roman"/>
          <w:b/>
          <w:sz w:val="32"/>
          <w:szCs w:val="32"/>
          <w:lang w:eastAsia="uk-UA"/>
        </w:rPr>
      </w:pPr>
      <w:r>
        <w:rPr>
          <w:rFonts w:ascii="Times New Roman" w:hAnsi="Times New Roman" w:cs="Times New Roman"/>
          <w:b/>
          <w:sz w:val="32"/>
          <w:szCs w:val="32"/>
          <w:lang w:eastAsia="uk-UA"/>
        </w:rPr>
        <w:t xml:space="preserve"> фінансування військово-лікарської комісії на 2025р.</w:t>
      </w:r>
    </w:p>
    <w:p w14:paraId="7E8B7FCF">
      <w:pPr>
        <w:pStyle w:val="10"/>
        <w:rPr>
          <w:rFonts w:ascii="Times New Roman" w:hAnsi="Times New Roman" w:cs="Times New Roman"/>
          <w:b/>
          <w:sz w:val="28"/>
          <w:szCs w:val="28"/>
          <w:lang w:eastAsia="uk-UA"/>
        </w:rPr>
      </w:pPr>
    </w:p>
    <w:p w14:paraId="48B33690">
      <w:pPr>
        <w:pStyle w:val="10"/>
        <w:numPr>
          <w:ilvl w:val="0"/>
          <w:numId w:val="1"/>
        </w:numPr>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ЗАГАЛЬНІ ПОЛОЖЕННЯ</w:t>
      </w:r>
    </w:p>
    <w:p w14:paraId="1E4110A6">
      <w:pPr>
        <w:pStyle w:val="10"/>
        <w:ind w:left="360"/>
        <w:rPr>
          <w:rFonts w:ascii="Times New Roman" w:hAnsi="Times New Roman" w:cs="Times New Roman"/>
          <w:b/>
          <w:sz w:val="28"/>
          <w:szCs w:val="28"/>
          <w:lang w:eastAsia="uk-UA"/>
        </w:rPr>
      </w:pPr>
    </w:p>
    <w:p w14:paraId="41287E15">
      <w:pPr>
        <w:pStyle w:val="1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Захист Вітчизни, незалежності та територіальної цілісності України є конституційним обов’язком громадян України, особливо в умовах збройної агресії російської федерації проти України та введенням воєнного стану в Україні. </w:t>
      </w:r>
    </w:p>
    <w:p w14:paraId="4979B3EF">
      <w:pPr>
        <w:pStyle w:val="1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Виконання військового обов’язку громадянами України забезпечують державні органи, органи місцевого самоврядування, утворені відповідно до законів України військові формування, підприємства, установи і організації незалежно від підпорядкування і форм власності в межах їх повноважень, передбачених законом, та районні (об’єднані районні), міські (об’єднані міські) військові </w:t>
      </w:r>
      <w:r>
        <w:rPr>
          <w:rFonts w:ascii="Times New Roman" w:hAnsi="Times New Roman" w:eastAsia="Times New Roman" w:cs="Times New Roman"/>
          <w:sz w:val="28"/>
          <w:szCs w:val="28"/>
          <w:lang w:eastAsia="uk-UA"/>
        </w:rPr>
        <w:t>територіальні центри комплектування та соціальної підтримки (ТЦК та СП)</w:t>
      </w:r>
      <w:r>
        <w:rPr>
          <w:rFonts w:ascii="Times New Roman" w:hAnsi="Times New Roman" w:cs="Times New Roman"/>
          <w:sz w:val="28"/>
          <w:szCs w:val="28"/>
          <w:lang w:eastAsia="uk-UA"/>
        </w:rPr>
        <w:t>.</w:t>
      </w:r>
    </w:p>
    <w:p w14:paraId="5CF8BC87">
      <w:pPr>
        <w:pStyle w:val="10"/>
        <w:ind w:firstLine="708"/>
        <w:jc w:val="both"/>
        <w:rPr>
          <w:rFonts w:ascii="Times New Roman" w:hAnsi="Times New Roman" w:cs="Times New Roman"/>
          <w:color w:val="000000"/>
          <w:sz w:val="28"/>
          <w:szCs w:val="28"/>
        </w:rPr>
      </w:pPr>
      <w:r>
        <w:rPr>
          <w:rFonts w:ascii="Times New Roman" w:hAnsi="Times New Roman" w:cs="Times New Roman"/>
          <w:sz w:val="28"/>
          <w:szCs w:val="28"/>
          <w:lang w:eastAsia="uk-UA"/>
        </w:rPr>
        <w:t xml:space="preserve">Для проведення військово – лікарської експертизи, яка </w:t>
      </w:r>
      <w:r>
        <w:rPr>
          <w:rFonts w:ascii="Times New Roman" w:hAnsi="Times New Roman" w:cs="Times New Roman"/>
          <w:color w:val="000000"/>
          <w:sz w:val="28"/>
          <w:szCs w:val="28"/>
        </w:rPr>
        <w:t xml:space="preserve">визначає придатність за станом здоров’я до військової служби призовників, військовослужбовців, військовозобов’язаних та резервістів, установлює причинний зв’язок захворювань, травм (поранень, контузій, каліцтв) з військовою службою та визначає необхідність і умови застосування медико-соціальної реабілітації та допомоги військовослужбовця. Створюються військово – лікарські комісії (далі ВЛК) при Дрогобицькому районному ТЦК та СП, штатні та позаштатні (постійно і тимчасово діючі) комісії. До складу ВЛК ТЦК та СП входять медичні працівники </w:t>
      </w:r>
      <w:r>
        <w:rPr>
          <w:rFonts w:ascii="Times New Roman" w:hAnsi="Times New Roman" w:cs="Times New Roman"/>
          <w:sz w:val="28"/>
          <w:szCs w:val="28"/>
        </w:rPr>
        <w:t>комунального некомерційного підприємства ”Дрогобицька міська поліклініка” Дрогобицької міської ради</w:t>
      </w:r>
      <w:r>
        <w:rPr>
          <w:rFonts w:ascii="Times New Roman" w:hAnsi="Times New Roman" w:cs="Times New Roman"/>
          <w:color w:val="000000"/>
          <w:sz w:val="28"/>
          <w:szCs w:val="28"/>
        </w:rPr>
        <w:t xml:space="preserve">, що визначено рішенням районної військової адміністрації, зокрема </w:t>
      </w:r>
      <w:r>
        <w:rPr>
          <w:rFonts w:ascii="Times New Roman" w:hAnsi="Times New Roman" w:cs="Times New Roman"/>
          <w:sz w:val="28"/>
          <w:szCs w:val="28"/>
        </w:rPr>
        <w:t>наказом начальника Дрогобицького ТЦК та СП № 20 від 27.12.2024 року “Про створення та роботу Дрогобицької районної позаштатної постійно діючої військово - лікарської комісії при Дрогобицькому районному ТЦК та СП на 2025 рік” при комунальному некомерційному підприємстві ”Дрогобицька міська поліклініка” Дрогобицької міської ради ( далі КНП ”ДМП” ДМР).</w:t>
      </w:r>
    </w:p>
    <w:p w14:paraId="34B66928">
      <w:pPr>
        <w:pStyle w:val="10"/>
        <w:ind w:firstLine="708"/>
        <w:jc w:val="both"/>
        <w:rPr>
          <w:rFonts w:ascii="Times New Roman" w:hAnsi="Times New Roman" w:cs="Times New Roman"/>
          <w:sz w:val="28"/>
          <w:szCs w:val="28"/>
          <w:lang w:eastAsia="uk-UA"/>
        </w:rPr>
      </w:pPr>
      <w:r>
        <w:rPr>
          <w:rFonts w:ascii="Times New Roman" w:hAnsi="Times New Roman" w:cs="Times New Roman"/>
          <w:color w:val="000000"/>
          <w:sz w:val="28"/>
          <w:szCs w:val="28"/>
        </w:rPr>
        <w:t>Військово – лікарська комісія у ході своєї діяльності керується</w:t>
      </w:r>
      <w:r>
        <w:rPr>
          <w:rFonts w:ascii="Times New Roman" w:hAnsi="Times New Roman" w:cs="Times New Roman"/>
          <w:sz w:val="28"/>
          <w:szCs w:val="28"/>
          <w:lang w:eastAsia="uk-UA"/>
        </w:rPr>
        <w:t xml:space="preserve"> Конституцією України, Законом України 2232-ХІІ «Про військовий обов’язок </w:t>
      </w:r>
    </w:p>
    <w:p w14:paraId="372CF153">
      <w:pPr>
        <w:pStyle w:val="10"/>
        <w:jc w:val="both"/>
        <w:rPr>
          <w:rFonts w:ascii="Times New Roman" w:hAnsi="Times New Roman" w:eastAsia="SimSun" w:cs="Times New Roman"/>
          <w:sz w:val="28"/>
          <w:szCs w:val="28"/>
          <w:lang w:eastAsia="ar-SA"/>
        </w:rPr>
      </w:pPr>
      <w:r>
        <w:rPr>
          <w:rFonts w:ascii="Times New Roman" w:hAnsi="Times New Roman" w:cs="Times New Roman"/>
          <w:sz w:val="28"/>
          <w:szCs w:val="28"/>
          <w:lang w:eastAsia="uk-UA"/>
        </w:rPr>
        <w:t>і військову службу» від 25.03.1992р. зі змінами,</w:t>
      </w:r>
      <w:r>
        <w:rPr>
          <w:rFonts w:ascii="Times New Roman" w:hAnsi="Times New Roman" w:eastAsia="SimSun" w:cs="Times New Roman"/>
          <w:sz w:val="28"/>
          <w:szCs w:val="28"/>
          <w:lang w:eastAsia="ar-SA"/>
        </w:rPr>
        <w:t xml:space="preserve"> Закону України «Про державні фінансові гарантії медичного обслуговування населення»</w:t>
      </w:r>
      <w:r>
        <w:rPr>
          <w:rFonts w:ascii="Times New Roman" w:hAnsi="Times New Roman" w:cs="Times New Roman"/>
          <w:sz w:val="28"/>
          <w:szCs w:val="28"/>
          <w:lang w:eastAsia="uk-UA"/>
        </w:rPr>
        <w:t xml:space="preserve">  від 19.10.2017р. №</w:t>
      </w:r>
      <w:r>
        <w:rPr>
          <w:rFonts w:ascii="Times New Roman" w:hAnsi="Times New Roman" w:cs="Times New Roman"/>
          <w:color w:val="000000" w:themeColor="text1"/>
          <w:sz w:val="28"/>
          <w:szCs w:val="28"/>
          <w14:textFill>
            <w14:solidFill>
              <w14:schemeClr w14:val="tx1"/>
            </w14:solidFill>
          </w14:textFill>
        </w:rPr>
        <w:t>2168-</w:t>
      </w:r>
      <w:r>
        <w:rPr>
          <w:rFonts w:ascii="Times New Roman" w:hAnsi="Times New Roman" w:cs="Times New Roman"/>
          <w:color w:val="000000" w:themeColor="text1"/>
          <w:sz w:val="28"/>
          <w:szCs w:val="28"/>
          <w:lang w:val="en-US"/>
          <w14:textFill>
            <w14:solidFill>
              <w14:schemeClr w14:val="tx1"/>
            </w14:solidFill>
          </w14:textFill>
        </w:rPr>
        <w:t>VI</w:t>
      </w:r>
      <w:r>
        <w:rPr>
          <w:rFonts w:ascii="Times New Roman" w:hAnsi="Times New Roman" w:cs="Times New Roman"/>
          <w:color w:val="000000" w:themeColor="text1"/>
          <w:sz w:val="28"/>
          <w:szCs w:val="28"/>
          <w14:textFill>
            <w14:solidFill>
              <w14:schemeClr w14:val="tx1"/>
            </w14:solidFill>
          </w14:textFill>
        </w:rPr>
        <w:t>ІІ,</w:t>
      </w:r>
      <w:r>
        <w:rPr>
          <w:rFonts w:ascii="Times New Roman" w:hAnsi="Times New Roman" w:cs="Times New Roman"/>
          <w:sz w:val="28"/>
          <w:szCs w:val="28"/>
          <w:lang w:eastAsia="uk-UA"/>
        </w:rPr>
        <w:t xml:space="preserve"> </w:t>
      </w:r>
      <w:r>
        <w:rPr>
          <w:rFonts w:ascii="Times New Roman" w:hAnsi="Times New Roman" w:cs="Times New Roman"/>
          <w:sz w:val="28"/>
          <w:szCs w:val="28"/>
        </w:rPr>
        <w:t>Закону України про затвердження</w:t>
      </w:r>
      <w:r>
        <w:rPr>
          <w:rFonts w:ascii="Times New Roman" w:hAnsi="Times New Roman" w:cs="Times New Roman"/>
          <w:sz w:val="28"/>
          <w:szCs w:val="28"/>
          <w:lang w:eastAsia="uk-UA"/>
        </w:rPr>
        <w:t xml:space="preserve"> Указу Президента України «Про введення воєнного стану в Україні» від 24.02.2022 № 21012-ІХ зі змінами, Бюджетного Кодексу України, Закону України «Про місцеве самоврядування».</w:t>
      </w:r>
    </w:p>
    <w:p w14:paraId="5232BCFE">
      <w:pPr>
        <w:pStyle w:val="10"/>
        <w:rPr>
          <w:rFonts w:ascii="Times New Roman" w:hAnsi="Times New Roman" w:cs="Times New Roman"/>
          <w:b/>
          <w:sz w:val="28"/>
          <w:szCs w:val="28"/>
          <w:lang w:eastAsia="uk-UA"/>
        </w:rPr>
      </w:pPr>
    </w:p>
    <w:p w14:paraId="7F892CD1">
      <w:pPr>
        <w:pStyle w:val="10"/>
        <w:ind w:firstLine="708"/>
        <w:jc w:val="center"/>
        <w:rPr>
          <w:rFonts w:ascii="Times New Roman" w:hAnsi="Times New Roman" w:cs="Times New Roman"/>
          <w:b/>
          <w:sz w:val="28"/>
          <w:szCs w:val="28"/>
          <w:lang w:eastAsia="uk-UA"/>
        </w:rPr>
      </w:pPr>
    </w:p>
    <w:p w14:paraId="4C89583E">
      <w:pPr>
        <w:pStyle w:val="10"/>
        <w:ind w:firstLine="708"/>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2. МЕТА ТА ЗАВДАННЯ ПРОГРАМИ</w:t>
      </w:r>
    </w:p>
    <w:p w14:paraId="4C0B285A">
      <w:pPr>
        <w:pStyle w:val="10"/>
        <w:jc w:val="both"/>
        <w:rPr>
          <w:rFonts w:ascii="Times New Roman" w:hAnsi="Times New Roman" w:cs="Times New Roman"/>
          <w:b/>
          <w:sz w:val="28"/>
          <w:szCs w:val="28"/>
          <w:lang w:eastAsia="uk-UA"/>
        </w:rPr>
      </w:pPr>
    </w:p>
    <w:p w14:paraId="6317D8C3">
      <w:pPr>
        <w:spacing w:after="0"/>
        <w:ind w:firstLine="851"/>
        <w:jc w:val="both"/>
        <w:rPr>
          <w:rFonts w:ascii="Times New Roman" w:hAnsi="Times New Roman" w:cs="Times New Roman"/>
          <w:sz w:val="28"/>
          <w:szCs w:val="28"/>
        </w:rPr>
      </w:pPr>
      <w:r>
        <w:rPr>
          <w:rFonts w:ascii="Times New Roman" w:hAnsi="Times New Roman" w:eastAsia="Times New Roman" w:cs="Times New Roman"/>
          <w:sz w:val="28"/>
          <w:szCs w:val="28"/>
          <w:lang w:eastAsia="uk-UA"/>
        </w:rPr>
        <w:tab/>
      </w:r>
      <w:r>
        <w:rPr>
          <w:rFonts w:ascii="Times New Roman" w:hAnsi="Times New Roman" w:eastAsia="Times New Roman" w:cs="Times New Roman"/>
          <w:sz w:val="28"/>
          <w:szCs w:val="28"/>
          <w:lang w:eastAsia="uk-UA"/>
        </w:rPr>
        <w:t>Фінансування закладів охорони здоров</w:t>
      </w:r>
      <w:r>
        <w:rPr>
          <w:rFonts w:ascii="Times New Roman" w:hAnsi="Times New Roman" w:eastAsia="Times New Roman" w:cs="Times New Roman"/>
          <w:sz w:val="28"/>
          <w:szCs w:val="28"/>
          <w:lang w:val="ru-RU" w:eastAsia="uk-UA"/>
        </w:rPr>
        <w:t>`я проводиться</w:t>
      </w:r>
      <w:r>
        <w:rPr>
          <w:rFonts w:ascii="Times New Roman" w:hAnsi="Times New Roman" w:eastAsia="Times New Roman" w:cs="Times New Roman"/>
          <w:sz w:val="28"/>
          <w:szCs w:val="28"/>
          <w:lang w:eastAsia="uk-UA"/>
        </w:rPr>
        <w:t xml:space="preserve"> Національною службою здоров’я України ( далі НСЗУ).  </w:t>
      </w:r>
      <w:r>
        <w:rPr>
          <w:rFonts w:ascii="Times New Roman" w:hAnsi="Times New Roman" w:cs="Times New Roman"/>
          <w:sz w:val="28"/>
          <w:szCs w:val="28"/>
        </w:rPr>
        <w:t xml:space="preserve">Між Національною службою здоров’я України та КНП «Дрогобицька міська поліклініка» ДМР укладено  договір  від 10.02.2025 року 1246-Е125-Р000 згідно пакету: «Медичний огляд осіб, який організовується територіальними центрами комплектування та соціальної підтримки» на суму 3 909 924,00 грн. Вартість  медичного огляду однієї особи становить 883,00 грн. </w:t>
      </w:r>
    </w:p>
    <w:p w14:paraId="24E3A967">
      <w:pPr>
        <w:spacing w:after="0"/>
        <w:ind w:firstLine="851"/>
        <w:jc w:val="both"/>
        <w:rPr>
          <w:rFonts w:ascii="Times New Roman" w:hAnsi="Times New Roman" w:cs="Times New Roman"/>
          <w:sz w:val="28"/>
          <w:szCs w:val="28"/>
        </w:rPr>
      </w:pPr>
      <w:r>
        <w:rPr>
          <w:rFonts w:ascii="Times New Roman" w:hAnsi="Times New Roman" w:cs="Times New Roman"/>
          <w:sz w:val="28"/>
          <w:szCs w:val="28"/>
        </w:rPr>
        <w:t>З коштів, які надходять з НЗСУ згідно заключеного договору проводиться оплата працівників ВЛК та оплата проведення інших лабораторних та діагностичних досліджень (розрахунок  додається), при  робочому часі роботи працівників ВЛК з навантаженням на 0,5 ставки/день становить лікарська посада 3,3 години, середнього медичного персоналу 3,85 годин.</w:t>
      </w:r>
    </w:p>
    <w:p w14:paraId="4CE691DC">
      <w:pPr>
        <w:pStyle w:val="14"/>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 основного складу ВЛК залучено станом на 01.01.2025 року 4,5 ст. посади лікарського та 6,5 ст. посади середнього медичного персоналу, які входять до штатного розпису КНП ”ДМП” ДМР. (Розрахунок планових витрат на заробітну плату працівників, залучених до роботи відділення ВЛК додається). Крім того за потреби до роботи військово – лікарської комісії залучаються працівники резервного (дублюючого) складу позаштатної постійно діючої  військово-лікарської комісії.</w:t>
      </w:r>
    </w:p>
    <w:p w14:paraId="44767CAA">
      <w:pPr>
        <w:pStyle w:val="10"/>
        <w:ind w:firstLine="708"/>
        <w:jc w:val="both"/>
        <w:rPr>
          <w:rFonts w:ascii="Times New Roman" w:hAnsi="Times New Roman" w:eastAsia="Times New Roman" w:cs="Times New Roman"/>
          <w:color w:val="FF0000"/>
          <w:sz w:val="28"/>
          <w:szCs w:val="28"/>
          <w:lang w:eastAsia="uk-UA"/>
        </w:rPr>
      </w:pPr>
      <w:r>
        <w:rPr>
          <w:rFonts w:ascii="Times New Roman" w:hAnsi="Times New Roman" w:eastAsia="Times New Roman" w:cs="Times New Roman"/>
          <w:color w:val="FF0000"/>
          <w:sz w:val="28"/>
          <w:szCs w:val="28"/>
          <w:lang w:eastAsia="uk-UA"/>
        </w:rPr>
        <w:t>Військово-лікарська комісія у зв`язку із службовою необхідністю та з метою проведення заходів з мобілізації людських ресурсів працює щодня  у робочі та суботні дні, у дві зміни та понаднормово, що приводить до збільшення фінансових витрат на утримання ВЛК січень – лютий  2025 року (додаток 2).</w:t>
      </w:r>
    </w:p>
    <w:p w14:paraId="10995423">
      <w:pPr>
        <w:pStyle w:val="10"/>
        <w:ind w:firstLine="708"/>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Метою Програми є отримання додаткових матеріальних стимулювань працівників ВЛК від територіальних громад, які будуть скеровані на виплати стимулюючого характеру працівникам задіяних в проведенні медичних оглядів призовників.</w:t>
      </w:r>
    </w:p>
    <w:p w14:paraId="653D760A">
      <w:pPr>
        <w:pStyle w:val="10"/>
        <w:ind w:firstLine="708"/>
        <w:jc w:val="both"/>
        <w:rPr>
          <w:rFonts w:ascii="Times New Roman" w:hAnsi="Times New Roman" w:eastAsia="Times New Roman" w:cs="Times New Roman"/>
          <w:color w:val="FF0000"/>
          <w:sz w:val="28"/>
          <w:szCs w:val="28"/>
          <w:lang w:eastAsia="uk-UA"/>
        </w:rPr>
      </w:pPr>
    </w:p>
    <w:p w14:paraId="6F24FD6D">
      <w:pPr>
        <w:pStyle w:val="10"/>
        <w:ind w:left="360"/>
        <w:jc w:val="center"/>
        <w:rPr>
          <w:rFonts w:ascii="Times New Roman" w:hAnsi="Times New Roman" w:eastAsia="Times New Roman" w:cs="Times New Roman"/>
          <w:b/>
          <w:bCs/>
          <w:sz w:val="28"/>
          <w:szCs w:val="28"/>
          <w:lang w:eastAsia="uk-UA"/>
        </w:rPr>
      </w:pPr>
    </w:p>
    <w:p w14:paraId="01E647BC">
      <w:pPr>
        <w:pStyle w:val="10"/>
        <w:ind w:left="720"/>
        <w:jc w:val="center"/>
        <w:rPr>
          <w:rFonts w:ascii="Times New Roman" w:hAnsi="Times New Roman" w:eastAsia="Times New Roman" w:cs="Times New Roman"/>
          <w:b/>
          <w:bCs/>
          <w:sz w:val="28"/>
          <w:szCs w:val="28"/>
          <w:lang w:eastAsia="uk-UA"/>
        </w:rPr>
      </w:pPr>
      <w:r>
        <w:rPr>
          <w:rFonts w:ascii="Times New Roman" w:hAnsi="Times New Roman" w:eastAsia="Times New Roman" w:cs="Times New Roman"/>
          <w:b/>
          <w:bCs/>
          <w:sz w:val="28"/>
          <w:szCs w:val="28"/>
          <w:lang w:eastAsia="uk-UA"/>
        </w:rPr>
        <w:t>3.ОБҐРУНТУВАННЯ ШЛЯХІВ І ЗАСОБІВ РОЗВ’ЯЗАННЯ ПРОБЛЕМИ, ОБСЯГІВ ТА ДЖЕРЕЛ ФІНАНСУВАННЯ. НАПРЯМИ ДІЯЛЬНОСТІ ТА ЗАХОДИ ПРОГРАМИ</w:t>
      </w:r>
    </w:p>
    <w:p w14:paraId="0C4C2336">
      <w:pPr>
        <w:pStyle w:val="10"/>
        <w:ind w:left="720"/>
        <w:jc w:val="center"/>
        <w:rPr>
          <w:rFonts w:ascii="Times New Roman" w:hAnsi="Times New Roman" w:eastAsia="Times New Roman" w:cs="Times New Roman"/>
          <w:b/>
          <w:bCs/>
          <w:sz w:val="28"/>
          <w:szCs w:val="28"/>
          <w:lang w:eastAsia="uk-UA"/>
        </w:rPr>
      </w:pPr>
      <w:r>
        <w:rPr>
          <w:rFonts w:ascii="Times New Roman" w:hAnsi="Times New Roman" w:eastAsia="Times New Roman" w:cs="Times New Roman"/>
          <w:sz w:val="28"/>
          <w:szCs w:val="28"/>
          <w:lang w:eastAsia="uk-UA"/>
        </w:rPr>
        <w:t>(подано у додатку 3)</w:t>
      </w:r>
    </w:p>
    <w:p w14:paraId="7A5AB290">
      <w:pPr>
        <w:pStyle w:val="10"/>
        <w:ind w:left="720"/>
        <w:rPr>
          <w:rFonts w:ascii="Times New Roman" w:hAnsi="Times New Roman" w:eastAsia="Times New Roman" w:cs="Times New Roman"/>
          <w:b/>
          <w:bCs/>
          <w:sz w:val="28"/>
          <w:szCs w:val="28"/>
          <w:lang w:eastAsia="uk-UA"/>
        </w:rPr>
      </w:pPr>
    </w:p>
    <w:p w14:paraId="04813228">
      <w:pPr>
        <w:pStyle w:val="10"/>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uk-UA"/>
        </w:rPr>
        <w:t xml:space="preserve">Відсутність матеріальної зацікавленості не створює у медичних працівників ВЛК стимулів до підвищення якості проведення медичних оглядів, </w:t>
      </w:r>
      <w:r>
        <w:rPr>
          <w:rFonts w:ascii="Times New Roman" w:hAnsi="Times New Roman" w:eastAsia="Times New Roman" w:cs="Times New Roman"/>
          <w:color w:val="000000"/>
          <w:sz w:val="28"/>
          <w:szCs w:val="28"/>
          <w:lang w:eastAsia="ru-RU"/>
        </w:rPr>
        <w:t>недостатня соціальна захищеність нівелює їх суспільну значимість та некомпенсовує фактичну кількість відпрацьованих годин.</w:t>
      </w:r>
    </w:p>
    <w:p w14:paraId="73052EB8">
      <w:pPr>
        <w:pStyle w:val="10"/>
        <w:ind w:firstLine="708"/>
        <w:jc w:val="both"/>
        <w:rPr>
          <w:rFonts w:ascii="Times New Roman" w:hAnsi="Times New Roman" w:cs="Times New Roman"/>
          <w:bCs/>
          <w:sz w:val="28"/>
          <w:szCs w:val="28"/>
          <w:lang w:eastAsia="uk-UA"/>
        </w:rPr>
      </w:pPr>
      <w:r>
        <w:rPr>
          <w:rFonts w:ascii="Times New Roman" w:hAnsi="Times New Roman" w:eastAsia="Times New Roman" w:cs="Times New Roman"/>
          <w:sz w:val="28"/>
          <w:szCs w:val="28"/>
        </w:rPr>
        <w:t xml:space="preserve">Створення умов для зміцнення кадрового ресурсу вимагає необхідності здійснення комплексу заходів, спрямованих на розв’язання проблем та підвищення ефективності діяльності ВЛК зумовлює необхідність прийняття </w:t>
      </w:r>
      <w:r>
        <w:rPr>
          <w:rFonts w:ascii="Times New Roman" w:hAnsi="Times New Roman" w:eastAsia="SimSun" w:cs="Times New Roman"/>
          <w:bCs/>
          <w:sz w:val="28"/>
          <w:szCs w:val="28"/>
          <w:lang w:eastAsia="ar-SA"/>
        </w:rPr>
        <w:t xml:space="preserve">Програми </w:t>
      </w:r>
      <w:r>
        <w:rPr>
          <w:rFonts w:ascii="Times New Roman" w:hAnsi="Times New Roman" w:cs="Times New Roman"/>
          <w:bCs/>
          <w:sz w:val="28"/>
          <w:szCs w:val="28"/>
          <w:lang w:eastAsia="uk-UA"/>
        </w:rPr>
        <w:t>місцевих стимулів фінансування військово-лікарської комісії на 2025р. шляхом преміювання.</w:t>
      </w:r>
    </w:p>
    <w:p w14:paraId="28DE490C">
      <w:pPr>
        <w:shd w:val="clear" w:color="auto" w:fill="FFFFFF"/>
        <w:spacing w:after="0" w:line="240" w:lineRule="auto"/>
        <w:ind w:firstLine="708"/>
        <w:jc w:val="both"/>
        <w:rPr>
          <w:rFonts w:ascii="Times New Roman" w:hAnsi="Times New Roman" w:eastAsia="Times New Roman" w:cs="Times New Roman"/>
          <w:color w:val="050505"/>
          <w:sz w:val="28"/>
          <w:szCs w:val="28"/>
          <w:lang w:eastAsia="uk-UA"/>
        </w:rPr>
      </w:pPr>
      <w:r>
        <w:rPr>
          <w:rFonts w:ascii="Times New Roman" w:hAnsi="Times New Roman" w:cs="Times New Roman"/>
          <w:sz w:val="28"/>
          <w:szCs w:val="28"/>
          <w:lang w:eastAsia="uk-UA"/>
        </w:rPr>
        <w:t xml:space="preserve">Без дофінансування з місцевого бюджету робота військово – лікарської комісії </w:t>
      </w:r>
      <w:r>
        <w:rPr>
          <w:rFonts w:ascii="Times New Roman" w:hAnsi="Times New Roman" w:eastAsia="Times New Roman" w:cs="Times New Roman"/>
          <w:sz w:val="28"/>
          <w:szCs w:val="28"/>
          <w:lang w:eastAsia="uk-UA"/>
        </w:rPr>
        <w:t>Дрогобицького районного територіального центру комплектування та соціальної підтримки у даній ситуації</w:t>
      </w:r>
      <w:r>
        <w:rPr>
          <w:rFonts w:ascii="Times New Roman" w:hAnsi="Times New Roman" w:cs="Times New Roman"/>
          <w:sz w:val="28"/>
          <w:szCs w:val="28"/>
          <w:lang w:eastAsia="uk-UA"/>
        </w:rPr>
        <w:t xml:space="preserve"> є неможлива. Законодавчо </w:t>
      </w:r>
      <w:r>
        <w:rPr>
          <w:rFonts w:ascii="Times New Roman" w:hAnsi="Times New Roman" w:eastAsia="Times New Roman" w:cs="Times New Roman"/>
          <w:color w:val="050505"/>
          <w:sz w:val="28"/>
          <w:szCs w:val="28"/>
          <w:lang w:eastAsia="uk-UA"/>
        </w:rPr>
        <w:t xml:space="preserve">згідно з підп. д) п.3 ч.1 ст.89 Бюджетного кодексу України з бюджетів селищних, міських територіальних громад </w:t>
      </w:r>
      <w:r>
        <w:rPr>
          <w:rFonts w:ascii="Times New Roman" w:hAnsi="Times New Roman" w:eastAsia="Times New Roman" w:cs="Times New Roman"/>
          <w:bCs/>
          <w:sz w:val="28"/>
          <w:szCs w:val="28"/>
          <w:lang w:eastAsia="uk-UA"/>
        </w:rPr>
        <w:t>можуть здійснюватися видатки на місцеві програми розвитку та підтримки комунальних закладів охорони здоров’я</w:t>
      </w:r>
      <w:r>
        <w:rPr>
          <w:rFonts w:ascii="Times New Roman" w:hAnsi="Times New Roman" w:eastAsia="Times New Roman" w:cs="Times New Roman"/>
          <w:color w:val="050505"/>
          <w:sz w:val="28"/>
          <w:szCs w:val="28"/>
          <w:lang w:eastAsia="uk-UA"/>
        </w:rPr>
        <w:t>, які належать відповідним територіальним громадам.</w:t>
      </w:r>
    </w:p>
    <w:p w14:paraId="72A5231A">
      <w:pPr>
        <w:shd w:val="clear" w:color="auto" w:fill="FFFFFF"/>
        <w:spacing w:after="0" w:line="240" w:lineRule="auto"/>
        <w:ind w:firstLine="708"/>
        <w:jc w:val="both"/>
        <w:rPr>
          <w:rFonts w:ascii="Times New Roman" w:hAnsi="Times New Roman" w:eastAsia="Times New Roman" w:cs="Times New Roman"/>
          <w:bCs/>
          <w:color w:val="050505"/>
          <w:sz w:val="28"/>
          <w:szCs w:val="28"/>
          <w:lang w:eastAsia="uk-UA"/>
        </w:rPr>
      </w:pPr>
      <w:r>
        <w:rPr>
          <w:rFonts w:ascii="Times New Roman" w:hAnsi="Times New Roman" w:eastAsia="Times New Roman" w:cs="Times New Roman"/>
          <w:color w:val="050505"/>
          <w:sz w:val="28"/>
          <w:szCs w:val="28"/>
          <w:lang w:eastAsia="uk-UA"/>
        </w:rPr>
        <w:t xml:space="preserve"> Ч.5 ст.3 Закону України «Про державні фінансові гарантії медичного обслуговування населення» визначено, що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w:t>
      </w:r>
      <w:r>
        <w:rPr>
          <w:rFonts w:ascii="Times New Roman" w:hAnsi="Times New Roman" w:eastAsia="Times New Roman" w:cs="Times New Roman"/>
          <w:bCs/>
          <w:color w:val="050505"/>
          <w:sz w:val="28"/>
          <w:szCs w:val="28"/>
          <w:lang w:eastAsia="uk-UA"/>
        </w:rPr>
        <w:t>підвищення оплати праці медичних працівників (програми «місцевих стимулів»).</w:t>
      </w:r>
    </w:p>
    <w:p w14:paraId="4440A32B">
      <w:pPr>
        <w:pStyle w:val="1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Тому враховуючи   необхідність дофінансування роботи ВЛК та з метою виконання Закону України «Про військовий обов’язок і військову службу», доцільно затвердити міську Програму фінансування  військово-лікарської комісії на 2025 рік (далі – Програма). </w:t>
      </w:r>
    </w:p>
    <w:p w14:paraId="7EC072DF">
      <w:pPr>
        <w:pStyle w:val="10"/>
        <w:ind w:firstLine="708"/>
        <w:jc w:val="both"/>
        <w:rPr>
          <w:rFonts w:ascii="Times New Roman" w:hAnsi="Times New Roman" w:cs="Times New Roman"/>
          <w:sz w:val="28"/>
          <w:szCs w:val="28"/>
          <w:lang w:eastAsia="uk-UA"/>
        </w:rPr>
      </w:pPr>
    </w:p>
    <w:p w14:paraId="3803D571">
      <w:pPr>
        <w:spacing w:line="240" w:lineRule="auto"/>
        <w:ind w:firstLine="708"/>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sz w:val="28"/>
          <w:szCs w:val="28"/>
          <w:lang w:eastAsia="uk-UA"/>
        </w:rPr>
        <w:t>4. СТРОКИ ТА ЕТАПИ ВИКОНАННЯ ПРОГРАМИ</w:t>
      </w:r>
    </w:p>
    <w:p w14:paraId="0620106B">
      <w:pPr>
        <w:spacing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Заходи програми реалізуються протягом 2025 року.</w:t>
      </w:r>
    </w:p>
    <w:p w14:paraId="17228D79">
      <w:pPr>
        <w:spacing w:line="240" w:lineRule="auto"/>
        <w:ind w:firstLine="709"/>
        <w:jc w:val="both"/>
        <w:rPr>
          <w:rFonts w:ascii="Times New Roman" w:hAnsi="Times New Roman" w:eastAsia="Times New Roman" w:cs="Times New Roman"/>
          <w:sz w:val="24"/>
          <w:szCs w:val="24"/>
          <w:lang w:eastAsia="uk-UA"/>
        </w:rPr>
      </w:pPr>
    </w:p>
    <w:p w14:paraId="239A2211">
      <w:pPr>
        <w:spacing w:line="240" w:lineRule="auto"/>
        <w:ind w:firstLine="708"/>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sz w:val="28"/>
          <w:szCs w:val="28"/>
          <w:lang w:eastAsia="uk-UA"/>
        </w:rPr>
        <w:t>5. ПЕРЕЛІК ЗАХОДІВ ПРОГРАМИ ТА РЕЗУЛЬТАТИВНІ ПОКАЗНИКИ ЇЇ ВИКОНАННЯ</w:t>
      </w:r>
    </w:p>
    <w:p w14:paraId="6B19A81C">
      <w:pPr>
        <w:pStyle w:val="10"/>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Для сприяння належної роботи ВЛК щодо забезпечення медичного огляду призовників проводити матеріальне заохочення працівників шляхом преміювання.</w:t>
      </w:r>
    </w:p>
    <w:p w14:paraId="52533461">
      <w:pPr>
        <w:pStyle w:val="10"/>
        <w:ind w:firstLine="708"/>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Очікуваними результатами виконання Програми є</w:t>
      </w:r>
      <w:r>
        <w:rPr>
          <w:rFonts w:ascii="Times New Roman" w:hAnsi="Times New Roman" w:cs="Times New Roman"/>
          <w:sz w:val="28"/>
          <w:szCs w:val="28"/>
          <w:lang w:val="ru-RU" w:eastAsia="uk-UA"/>
        </w:rPr>
        <w:t>:</w:t>
      </w:r>
    </w:p>
    <w:p w14:paraId="5D0D50F7">
      <w:pPr>
        <w:numPr>
          <w:ilvl w:val="0"/>
          <w:numId w:val="2"/>
        </w:numPr>
        <w:tabs>
          <w:tab w:val="left" w:pos="0"/>
        </w:tabs>
        <w:spacing w:after="0"/>
        <w:ind w:right="40" w:hanging="37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забезпечення позаштатною комісією ВЛК висококваліфікованими лікарями та медичним персоналом для відтворення кадрового ресурсу;</w:t>
      </w:r>
    </w:p>
    <w:p w14:paraId="62E80ADD">
      <w:pPr>
        <w:numPr>
          <w:ilvl w:val="0"/>
          <w:numId w:val="2"/>
        </w:numPr>
        <w:tabs>
          <w:tab w:val="left" w:pos="0"/>
        </w:tabs>
        <w:spacing w:after="0"/>
        <w:ind w:hanging="37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підвищення соціального захисту медичних працівників ВЛК;</w:t>
      </w:r>
    </w:p>
    <w:p w14:paraId="7AF5B924">
      <w:pPr>
        <w:numPr>
          <w:ilvl w:val="0"/>
          <w:numId w:val="2"/>
        </w:numPr>
        <w:tabs>
          <w:tab w:val="left" w:pos="0"/>
        </w:tabs>
        <w:spacing w:after="0"/>
        <w:ind w:hanging="37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підвищення престижу  медичних працівників ВЛК;</w:t>
      </w:r>
    </w:p>
    <w:p w14:paraId="3FCC99C2">
      <w:pPr>
        <w:numPr>
          <w:ilvl w:val="0"/>
          <w:numId w:val="2"/>
        </w:numPr>
        <w:shd w:val="clear" w:color="auto" w:fill="FFFFFF"/>
        <w:tabs>
          <w:tab w:val="left" w:pos="0"/>
        </w:tabs>
        <w:spacing w:after="0"/>
        <w:ind w:hanging="37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підвищення ефективності роботи ВЛК;</w:t>
      </w:r>
    </w:p>
    <w:p w14:paraId="27336EBC">
      <w:pPr>
        <w:numPr>
          <w:ilvl w:val="0"/>
          <w:numId w:val="2"/>
        </w:numPr>
        <w:shd w:val="clear" w:color="auto" w:fill="FFFFFF"/>
        <w:tabs>
          <w:tab w:val="left" w:pos="0"/>
        </w:tabs>
        <w:spacing w:after="0"/>
        <w:ind w:hanging="37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покращення якості  проведення медичних оглядів та військово лікарської експертизи;</w:t>
      </w:r>
    </w:p>
    <w:p w14:paraId="7B2BF22B">
      <w:pPr>
        <w:numPr>
          <w:ilvl w:val="0"/>
          <w:numId w:val="2"/>
        </w:numPr>
        <w:shd w:val="clear" w:color="auto" w:fill="FFFFFF"/>
        <w:tabs>
          <w:tab w:val="left" w:pos="0"/>
        </w:tabs>
        <w:suppressAutoHyphens/>
        <w:spacing w:after="0"/>
        <w:ind w:hanging="371"/>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sz w:val="28"/>
          <w:szCs w:val="28"/>
          <w:lang w:eastAsia="uk-UA"/>
        </w:rPr>
        <w:t>покращення показників проведення мобілізаційних заходів</w:t>
      </w:r>
      <w:r>
        <w:rPr>
          <w:rFonts w:ascii="Times New Roman" w:hAnsi="Times New Roman" w:eastAsia="Times New Roman" w:cs="Times New Roman"/>
          <w:color w:val="000000"/>
          <w:sz w:val="28"/>
          <w:szCs w:val="28"/>
          <w:lang w:eastAsia="ru-RU"/>
        </w:rPr>
        <w:t>;</w:t>
      </w:r>
    </w:p>
    <w:p w14:paraId="070B57FA">
      <w:pPr>
        <w:spacing w:line="240" w:lineRule="auto"/>
        <w:ind w:left="709" w:hanging="1"/>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w:t>
      </w:r>
      <w:r>
        <w:rPr>
          <w:rFonts w:ascii="Times New Roman" w:hAnsi="Times New Roman" w:eastAsia="Times New Roman" w:cs="Times New Roman"/>
          <w:color w:val="FF0000"/>
          <w:sz w:val="28"/>
          <w:szCs w:val="28"/>
          <w:lang w:eastAsia="uk-UA"/>
        </w:rPr>
        <w:t xml:space="preserve">матеріальний стимул медичних </w:t>
      </w:r>
      <w:r>
        <w:rPr>
          <w:rFonts w:ascii="Times New Roman" w:hAnsi="Times New Roman" w:eastAsia="Times New Roman" w:cs="Times New Roman"/>
          <w:sz w:val="28"/>
          <w:szCs w:val="28"/>
          <w:lang w:eastAsia="uk-UA"/>
        </w:rPr>
        <w:t>працівників ВЛК за понадморновані           відпрацьовані години.</w:t>
      </w:r>
    </w:p>
    <w:p w14:paraId="1BE63D11">
      <w:pPr>
        <w:spacing w:line="240" w:lineRule="auto"/>
        <w:ind w:left="709" w:hanging="1"/>
        <w:rPr>
          <w:rFonts w:ascii="Times New Roman" w:hAnsi="Times New Roman" w:eastAsia="Times New Roman" w:cs="Times New Roman"/>
          <w:sz w:val="28"/>
          <w:szCs w:val="28"/>
          <w:lang w:eastAsia="uk-UA"/>
        </w:rPr>
      </w:pPr>
    </w:p>
    <w:p w14:paraId="4FD27A46">
      <w:pPr>
        <w:spacing w:line="240" w:lineRule="auto"/>
        <w:ind w:firstLine="708"/>
        <w:jc w:val="center"/>
        <w:rPr>
          <w:rFonts w:ascii="Times New Roman" w:hAnsi="Times New Roman" w:eastAsia="Times New Roman" w:cs="Times New Roman"/>
          <w:sz w:val="28"/>
          <w:szCs w:val="28"/>
          <w:lang w:eastAsia="uk-UA"/>
        </w:rPr>
      </w:pPr>
      <w:r>
        <w:rPr>
          <w:rFonts w:ascii="Times New Roman" w:hAnsi="Times New Roman" w:eastAsia="Times New Roman" w:cs="Times New Roman"/>
          <w:b/>
          <w:bCs/>
          <w:sz w:val="28"/>
          <w:szCs w:val="28"/>
          <w:lang w:eastAsia="uk-UA"/>
        </w:rPr>
        <w:t>6. РЕСУРСНЕ ЗАБЕЗПЕЧЕННЯ ПРОГРАМИ</w:t>
      </w:r>
      <w:r>
        <w:rPr>
          <w:rFonts w:ascii="Times New Roman" w:hAnsi="Times New Roman" w:eastAsia="Times New Roman" w:cs="Times New Roman"/>
          <w:b/>
          <w:bCs/>
          <w:sz w:val="26"/>
          <w:szCs w:val="26"/>
          <w:lang w:eastAsia="uk-UA"/>
        </w:rPr>
        <w:t xml:space="preserve"> </w:t>
      </w:r>
      <w:r>
        <w:rPr>
          <w:rFonts w:ascii="Times New Roman" w:hAnsi="Times New Roman" w:eastAsia="Times New Roman" w:cs="Times New Roman"/>
          <w:sz w:val="26"/>
          <w:szCs w:val="26"/>
          <w:lang w:eastAsia="uk-UA"/>
        </w:rPr>
        <w:t xml:space="preserve"> </w:t>
      </w:r>
      <w:r>
        <w:rPr>
          <w:rFonts w:ascii="Times New Roman" w:hAnsi="Times New Roman" w:eastAsia="Times New Roman" w:cs="Times New Roman"/>
          <w:sz w:val="28"/>
          <w:szCs w:val="28"/>
          <w:lang w:eastAsia="uk-UA"/>
        </w:rPr>
        <w:t>(подано у додатку 2)</w:t>
      </w:r>
    </w:p>
    <w:p w14:paraId="3C45C216">
      <w:pPr>
        <w:spacing w:after="0"/>
        <w:ind w:firstLine="851"/>
        <w:jc w:val="both"/>
        <w:rPr>
          <w:rFonts w:ascii="Times New Roman" w:hAnsi="Times New Roman" w:cs="Times New Roman"/>
          <w:b/>
          <w:color w:val="000000"/>
          <w:sz w:val="28"/>
          <w:szCs w:val="28"/>
        </w:rPr>
      </w:pPr>
      <w:r>
        <w:rPr>
          <w:rFonts w:ascii="Times New Roman" w:hAnsi="Times New Roman" w:cs="Times New Roman"/>
          <w:color w:val="000000"/>
          <w:sz w:val="28"/>
          <w:szCs w:val="28"/>
        </w:rPr>
        <w:t>За даними Дрогобицького РТЦК та СП  працівниками військово-лікарської комісії  проведено медичний огляд, який організовується територіальними центрами комплектування та соціальної підтримки протягом  2024 року в кількості 4660 осіб.</w:t>
      </w:r>
    </w:p>
    <w:p w14:paraId="5B33A30D">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чином, загальна сума  коштів в сумі 329600 грн , що потребує додаткового фінансування витрат підприємства на проведення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медичного огляду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по територіальних громадах</w:t>
      </w:r>
      <w:r>
        <w:rPr>
          <w:rFonts w:ascii="Times New Roman" w:hAnsi="Times New Roman" w:cs="Times New Roman"/>
          <w:color w:val="000000"/>
          <w:sz w:val="28"/>
          <w:szCs w:val="28"/>
        </w:rPr>
        <w:t xml:space="preserve"> у відсотковому співвідношенні до фактичної кількості прийнятих осіб становить :</w:t>
      </w:r>
    </w:p>
    <w:p w14:paraId="67031A7D">
      <w:pPr>
        <w:pStyle w:val="14"/>
        <w:numPr>
          <w:ilvl w:val="0"/>
          <w:numId w:val="3"/>
        </w:num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Дрогобицька територіальна громада – </w:t>
      </w:r>
      <w:r>
        <w:rPr>
          <w:rFonts w:ascii="Times New Roman" w:hAnsi="Times New Roman" w:cs="Times New Roman"/>
          <w:b/>
          <w:color w:val="000000"/>
          <w:sz w:val="28"/>
          <w:szCs w:val="28"/>
        </w:rPr>
        <w:t>180 600 грн</w:t>
      </w:r>
      <w:r>
        <w:rPr>
          <w:rFonts w:ascii="Times New Roman" w:hAnsi="Times New Roman" w:cs="Times New Roman"/>
          <w:color w:val="000000"/>
          <w:sz w:val="28"/>
          <w:szCs w:val="28"/>
        </w:rPr>
        <w:t xml:space="preserve"> (2556 осіб-54,8%); </w:t>
      </w:r>
    </w:p>
    <w:p w14:paraId="7D1C1568">
      <w:pPr>
        <w:pStyle w:val="14"/>
        <w:numPr>
          <w:ilvl w:val="0"/>
          <w:numId w:val="3"/>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Трускавецька територіальна громада – </w:t>
      </w:r>
      <w:r>
        <w:rPr>
          <w:rFonts w:ascii="Times New Roman" w:hAnsi="Times New Roman" w:cs="Times New Roman"/>
          <w:b/>
          <w:color w:val="000000"/>
          <w:sz w:val="28"/>
          <w:szCs w:val="28"/>
        </w:rPr>
        <w:t>45 500 грн</w:t>
      </w:r>
      <w:r>
        <w:rPr>
          <w:rFonts w:ascii="Times New Roman" w:hAnsi="Times New Roman" w:cs="Times New Roman"/>
          <w:color w:val="000000"/>
          <w:sz w:val="28"/>
          <w:szCs w:val="28"/>
        </w:rPr>
        <w:t xml:space="preserve"> (644 особи-13,8%);</w:t>
      </w:r>
    </w:p>
    <w:p w14:paraId="396E3B7B">
      <w:pPr>
        <w:pStyle w:val="14"/>
        <w:numPr>
          <w:ilvl w:val="0"/>
          <w:numId w:val="3"/>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Бориславська територіальна громада – </w:t>
      </w:r>
      <w:r>
        <w:rPr>
          <w:rFonts w:ascii="Times New Roman" w:hAnsi="Times New Roman" w:cs="Times New Roman"/>
          <w:b/>
          <w:color w:val="000000"/>
          <w:sz w:val="28"/>
          <w:szCs w:val="28"/>
        </w:rPr>
        <w:t>62 600 грн</w:t>
      </w:r>
      <w:r>
        <w:rPr>
          <w:rFonts w:ascii="Times New Roman" w:hAnsi="Times New Roman" w:cs="Times New Roman"/>
          <w:color w:val="000000"/>
          <w:sz w:val="28"/>
          <w:szCs w:val="28"/>
        </w:rPr>
        <w:t xml:space="preserve"> (885 осіб-19%);</w:t>
      </w:r>
    </w:p>
    <w:p w14:paraId="54ECAB88">
      <w:pPr>
        <w:pStyle w:val="14"/>
        <w:numPr>
          <w:ilvl w:val="0"/>
          <w:numId w:val="3"/>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Меденицька територіальна громада – </w:t>
      </w:r>
      <w:r>
        <w:rPr>
          <w:rFonts w:ascii="Times New Roman" w:hAnsi="Times New Roman" w:cs="Times New Roman"/>
          <w:b/>
          <w:color w:val="000000"/>
          <w:sz w:val="28"/>
          <w:szCs w:val="28"/>
        </w:rPr>
        <w:t>20 800 грн</w:t>
      </w:r>
      <w:r>
        <w:rPr>
          <w:rFonts w:ascii="Times New Roman" w:hAnsi="Times New Roman" w:cs="Times New Roman"/>
          <w:color w:val="000000"/>
          <w:sz w:val="28"/>
          <w:szCs w:val="28"/>
        </w:rPr>
        <w:t xml:space="preserve"> (291 особа-6,3%);</w:t>
      </w:r>
    </w:p>
    <w:p w14:paraId="167D760C">
      <w:pPr>
        <w:pStyle w:val="14"/>
        <w:numPr>
          <w:ilvl w:val="0"/>
          <w:numId w:val="3"/>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Східницька територіальна громада – </w:t>
      </w:r>
      <w:r>
        <w:rPr>
          <w:rFonts w:ascii="Times New Roman" w:hAnsi="Times New Roman" w:cs="Times New Roman"/>
          <w:b/>
          <w:color w:val="000000"/>
          <w:sz w:val="28"/>
          <w:szCs w:val="28"/>
        </w:rPr>
        <w:t>20 100 грн</w:t>
      </w:r>
      <w:r>
        <w:rPr>
          <w:rFonts w:ascii="Times New Roman" w:hAnsi="Times New Roman" w:cs="Times New Roman"/>
          <w:color w:val="000000"/>
          <w:sz w:val="28"/>
          <w:szCs w:val="28"/>
        </w:rPr>
        <w:t xml:space="preserve"> (284 особи-6,1%).</w:t>
      </w:r>
    </w:p>
    <w:p w14:paraId="66266494">
      <w:pPr>
        <w:pStyle w:val="14"/>
        <w:spacing w:after="0" w:line="276" w:lineRule="auto"/>
        <w:ind w:left="-142"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Вищезгадані територіальні громади можуть бути учасниками програми у співфінансуванні витрат на ВЛК, шляхом передачі субвенції у бюджет Дрогобицької міської територіальної громади.</w:t>
      </w:r>
    </w:p>
    <w:p w14:paraId="69ED60C6">
      <w:pPr>
        <w:spacing w:line="240" w:lineRule="auto"/>
        <w:rPr>
          <w:rFonts w:ascii="Times New Roman" w:hAnsi="Times New Roman" w:eastAsia="Times New Roman" w:cs="Times New Roman"/>
          <w:sz w:val="24"/>
          <w:szCs w:val="24"/>
          <w:lang w:eastAsia="uk-UA"/>
        </w:rPr>
      </w:pPr>
    </w:p>
    <w:p w14:paraId="2D3181B4">
      <w:pPr>
        <w:spacing w:line="240" w:lineRule="auto"/>
        <w:ind w:firstLine="708"/>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sz w:val="28"/>
          <w:szCs w:val="28"/>
          <w:lang w:eastAsia="uk-UA"/>
        </w:rPr>
        <w:t>7. КООРДИНАЦІЯ ТА КОНТРОЛЬ ЗА ВИКОНАННЯМ ПРОГРАМИ</w:t>
      </w:r>
    </w:p>
    <w:p w14:paraId="5F49A00B">
      <w:pPr>
        <w:spacing w:after="0" w:line="240" w:lineRule="auto"/>
        <w:ind w:firstLine="708"/>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Організаційне забезпечення виконання Програми здійснює відділ охорони здоров’я виконавчих органів Дрогобицької міської ради. Відповідальними виконавцями призначити начальника Дрогобицького районного територіального центру комплектування та соціальної підтримки, керівники комунальних некомерційних підприємств охорони здоров’я Дрогобицької міської ради, медичні працівники ВЛК.</w:t>
      </w:r>
    </w:p>
    <w:p w14:paraId="268DB50B">
      <w:pPr>
        <w:spacing w:after="0" w:line="240" w:lineRule="auto"/>
        <w:ind w:firstLine="708"/>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 ході реалізації Програми можуть бути внесені поправки і доповнення до Програми.</w:t>
      </w:r>
    </w:p>
    <w:p w14:paraId="256721D1">
      <w:pPr>
        <w:spacing w:line="240" w:lineRule="auto"/>
        <w:ind w:left="7380"/>
        <w:rPr>
          <w:rFonts w:ascii="Times New Roman" w:hAnsi="Times New Roman" w:cs="Times New Roman"/>
          <w:b/>
          <w:sz w:val="28"/>
          <w:szCs w:val="28"/>
        </w:rPr>
      </w:pPr>
    </w:p>
    <w:p w14:paraId="008918F6">
      <w:pPr>
        <w:spacing w:line="240" w:lineRule="auto"/>
        <w:rPr>
          <w:rFonts w:ascii="Times New Roman" w:hAnsi="Times New Roman" w:cs="Times New Roman"/>
          <w:b/>
          <w:sz w:val="28"/>
          <w:szCs w:val="28"/>
        </w:rPr>
      </w:pPr>
    </w:p>
    <w:p w14:paraId="6ED2F02A">
      <w:pPr>
        <w:spacing w:line="240" w:lineRule="auto"/>
        <w:rPr>
          <w:rFonts w:ascii="Times New Roman" w:hAnsi="Times New Roman" w:cs="Times New Roman"/>
          <w:b/>
          <w:sz w:val="28"/>
          <w:szCs w:val="28"/>
        </w:rPr>
      </w:pPr>
    </w:p>
    <w:p w14:paraId="026F6B5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Начальник відділу                                         Володимир ЧУБА</w:t>
      </w:r>
    </w:p>
    <w:p w14:paraId="4C903F6F">
      <w:pPr>
        <w:spacing w:line="240" w:lineRule="auto"/>
        <w:rPr>
          <w:rFonts w:ascii="Times New Roman" w:hAnsi="Times New Roman" w:cs="Times New Roman"/>
          <w:b/>
          <w:sz w:val="28"/>
          <w:szCs w:val="28"/>
        </w:rPr>
      </w:pPr>
    </w:p>
    <w:p w14:paraId="12394102">
      <w:pPr>
        <w:spacing w:line="240" w:lineRule="auto"/>
        <w:rPr>
          <w:rFonts w:ascii="Times New Roman" w:hAnsi="Times New Roman" w:cs="Times New Roman"/>
          <w:b/>
          <w:sz w:val="28"/>
          <w:szCs w:val="28"/>
        </w:rPr>
      </w:pPr>
    </w:p>
    <w:p w14:paraId="07762EDF">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sz w:val="32"/>
          <w:szCs w:val="32"/>
          <w:lang w:eastAsia="uk-UA"/>
        </w:rPr>
        <w:t>ПАСПОРТ</w:t>
      </w:r>
    </w:p>
    <w:p w14:paraId="5BF0C5F4">
      <w:pPr>
        <w:shd w:val="clear" w:color="auto" w:fill="FFFFFF"/>
        <w:tabs>
          <w:tab w:val="left" w:pos="9355"/>
        </w:tabs>
        <w:spacing w:after="0" w:line="390" w:lineRule="atLeast"/>
        <w:ind w:right="-1"/>
        <w:jc w:val="center"/>
        <w:outlineLvl w:val="2"/>
        <w:rPr>
          <w:rFonts w:ascii="Times New Roman" w:hAnsi="Times New Roman" w:eastAsia="Times New Roman" w:cs="Times New Roman"/>
          <w:sz w:val="32"/>
          <w:szCs w:val="32"/>
          <w:lang w:eastAsia="uk-UA"/>
        </w:rPr>
      </w:pPr>
      <w:r>
        <w:rPr>
          <w:rFonts w:ascii="Times New Roman" w:hAnsi="Times New Roman" w:eastAsia="Times New Roman" w:cs="Times New Roman"/>
          <w:b/>
          <w:bCs/>
          <w:sz w:val="32"/>
          <w:szCs w:val="32"/>
          <w:lang w:eastAsia="uk-UA"/>
        </w:rPr>
        <w:t>Програми фінансування військово-лікарської комісії 2025 рік.</w:t>
      </w:r>
    </w:p>
    <w:p w14:paraId="3EE7012A">
      <w:pPr>
        <w:spacing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tbl>
      <w:tblPr>
        <w:tblStyle w:val="3"/>
        <w:tblW w:w="0" w:type="auto"/>
        <w:tblCellSpacing w:w="0" w:type="dxa"/>
        <w:tblInd w:w="0" w:type="dxa"/>
        <w:tblLayout w:type="autofit"/>
        <w:tblCellMar>
          <w:top w:w="0" w:type="dxa"/>
          <w:left w:w="108" w:type="dxa"/>
          <w:bottom w:w="0" w:type="dxa"/>
          <w:right w:w="108" w:type="dxa"/>
        </w:tblCellMar>
      </w:tblPr>
      <w:tblGrid>
        <w:gridCol w:w="4800"/>
        <w:gridCol w:w="4771"/>
      </w:tblGrid>
      <w:tr w14:paraId="44A5522A">
        <w:tblPrEx>
          <w:tblCellMar>
            <w:top w:w="0" w:type="dxa"/>
            <w:left w:w="108" w:type="dxa"/>
            <w:bottom w:w="0" w:type="dxa"/>
            <w:right w:w="108" w:type="dxa"/>
          </w:tblCellMar>
        </w:tblPrEx>
        <w:trPr>
          <w:trHeight w:val="775" w:hRule="atLeast"/>
          <w:tblCellSpacing w:w="0" w:type="dxa"/>
        </w:trPr>
        <w:tc>
          <w:tcPr>
            <w:tcW w:w="4800" w:type="dxa"/>
            <w:tcBorders>
              <w:top w:val="nil"/>
              <w:left w:val="nil"/>
              <w:bottom w:val="nil"/>
              <w:right w:val="nil"/>
            </w:tcBorders>
            <w:shd w:val="clear" w:color="auto" w:fill="FFFFFF"/>
            <w:vAlign w:val="center"/>
          </w:tcPr>
          <w:p w14:paraId="3F248984">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1. Ініціатор розроблення Програми:</w:t>
            </w:r>
          </w:p>
          <w:p w14:paraId="77BC5DF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tc>
        <w:tc>
          <w:tcPr>
            <w:tcW w:w="4771" w:type="dxa"/>
            <w:tcBorders>
              <w:top w:val="nil"/>
              <w:left w:val="nil"/>
              <w:bottom w:val="nil"/>
              <w:right w:val="nil"/>
            </w:tcBorders>
            <w:shd w:val="clear" w:color="auto" w:fill="FFFFFF"/>
            <w:vAlign w:val="center"/>
          </w:tcPr>
          <w:p w14:paraId="106D1AAE">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Відділ охорони здоров’я виконавчих органів Дрогобицької міської ради</w:t>
            </w:r>
          </w:p>
        </w:tc>
      </w:tr>
      <w:tr w14:paraId="1C1B5BFB">
        <w:tblPrEx>
          <w:tblCellMar>
            <w:top w:w="0" w:type="dxa"/>
            <w:left w:w="108" w:type="dxa"/>
            <w:bottom w:w="0" w:type="dxa"/>
            <w:right w:w="108" w:type="dxa"/>
          </w:tblCellMar>
        </w:tblPrEx>
        <w:trPr>
          <w:tblCellSpacing w:w="0" w:type="dxa"/>
        </w:trPr>
        <w:tc>
          <w:tcPr>
            <w:tcW w:w="4800" w:type="dxa"/>
            <w:tcBorders>
              <w:top w:val="nil"/>
              <w:left w:val="nil"/>
              <w:bottom w:val="nil"/>
              <w:right w:val="nil"/>
            </w:tcBorders>
            <w:shd w:val="clear" w:color="auto" w:fill="FFFFFF"/>
            <w:vAlign w:val="center"/>
          </w:tcPr>
          <w:p w14:paraId="154DDDA4">
            <w:pPr>
              <w:spacing w:after="0" w:line="240" w:lineRule="auto"/>
              <w:rPr>
                <w:rFonts w:ascii="Times New Roman" w:hAnsi="Times New Roman" w:eastAsia="Times New Roman" w:cs="Times New Roman"/>
                <w:sz w:val="24"/>
                <w:szCs w:val="24"/>
                <w:lang w:eastAsia="uk-UA"/>
              </w:rPr>
            </w:pPr>
          </w:p>
        </w:tc>
        <w:tc>
          <w:tcPr>
            <w:tcW w:w="4771" w:type="dxa"/>
            <w:tcBorders>
              <w:top w:val="nil"/>
              <w:left w:val="nil"/>
              <w:bottom w:val="nil"/>
              <w:right w:val="nil"/>
            </w:tcBorders>
            <w:shd w:val="clear" w:color="auto" w:fill="FFFFFF"/>
            <w:vAlign w:val="center"/>
          </w:tcPr>
          <w:p w14:paraId="673CA1E2">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tc>
      </w:tr>
      <w:tr w14:paraId="4903C5F3">
        <w:tblPrEx>
          <w:tblCellMar>
            <w:top w:w="0" w:type="dxa"/>
            <w:left w:w="108" w:type="dxa"/>
            <w:bottom w:w="0" w:type="dxa"/>
            <w:right w:w="108" w:type="dxa"/>
          </w:tblCellMar>
        </w:tblPrEx>
        <w:trPr>
          <w:tblCellSpacing w:w="0" w:type="dxa"/>
        </w:trPr>
        <w:tc>
          <w:tcPr>
            <w:tcW w:w="4800" w:type="dxa"/>
            <w:tcBorders>
              <w:top w:val="nil"/>
              <w:left w:val="nil"/>
              <w:bottom w:val="nil"/>
              <w:right w:val="nil"/>
            </w:tcBorders>
            <w:shd w:val="clear" w:color="auto" w:fill="FFFFFF"/>
            <w:vAlign w:val="center"/>
          </w:tcPr>
          <w:p w14:paraId="60A46FD8">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2. Розробник Програми:</w:t>
            </w:r>
          </w:p>
        </w:tc>
        <w:tc>
          <w:tcPr>
            <w:tcW w:w="4771" w:type="dxa"/>
            <w:tcBorders>
              <w:top w:val="nil"/>
              <w:left w:val="nil"/>
              <w:bottom w:val="nil"/>
              <w:right w:val="nil"/>
            </w:tcBorders>
            <w:shd w:val="clear" w:color="auto" w:fill="FFFFFF"/>
            <w:vAlign w:val="center"/>
          </w:tcPr>
          <w:p w14:paraId="1F638C22">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Відділ охорони здоров’я виконавчих органів Дрогобицької міської ради</w:t>
            </w:r>
          </w:p>
        </w:tc>
      </w:tr>
      <w:tr w14:paraId="0FEF1442">
        <w:tblPrEx>
          <w:tblCellMar>
            <w:top w:w="0" w:type="dxa"/>
            <w:left w:w="108" w:type="dxa"/>
            <w:bottom w:w="0" w:type="dxa"/>
            <w:right w:w="108" w:type="dxa"/>
          </w:tblCellMar>
        </w:tblPrEx>
        <w:trPr>
          <w:tblCellSpacing w:w="0" w:type="dxa"/>
        </w:trPr>
        <w:tc>
          <w:tcPr>
            <w:tcW w:w="4800" w:type="dxa"/>
            <w:tcBorders>
              <w:top w:val="nil"/>
              <w:left w:val="nil"/>
              <w:bottom w:val="nil"/>
              <w:right w:val="nil"/>
            </w:tcBorders>
            <w:shd w:val="clear" w:color="auto" w:fill="FFFFFF"/>
            <w:vAlign w:val="center"/>
          </w:tcPr>
          <w:p w14:paraId="30CDCDB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tc>
        <w:tc>
          <w:tcPr>
            <w:tcW w:w="4771" w:type="dxa"/>
            <w:tcBorders>
              <w:top w:val="nil"/>
              <w:left w:val="nil"/>
              <w:bottom w:val="nil"/>
              <w:right w:val="nil"/>
            </w:tcBorders>
            <w:shd w:val="clear" w:color="auto" w:fill="FFFFFF"/>
            <w:vAlign w:val="center"/>
          </w:tcPr>
          <w:p w14:paraId="62591E5F">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tc>
      </w:tr>
      <w:tr w14:paraId="2D446A0B">
        <w:tblPrEx>
          <w:tblCellMar>
            <w:top w:w="0" w:type="dxa"/>
            <w:left w:w="108" w:type="dxa"/>
            <w:bottom w:w="0" w:type="dxa"/>
            <w:right w:w="108" w:type="dxa"/>
          </w:tblCellMar>
        </w:tblPrEx>
        <w:trPr>
          <w:tblCellSpacing w:w="0" w:type="dxa"/>
        </w:trPr>
        <w:tc>
          <w:tcPr>
            <w:tcW w:w="4800" w:type="dxa"/>
            <w:tcBorders>
              <w:top w:val="nil"/>
              <w:left w:val="nil"/>
              <w:bottom w:val="nil"/>
              <w:right w:val="nil"/>
            </w:tcBorders>
            <w:shd w:val="clear" w:color="auto" w:fill="FFFFFF"/>
            <w:vAlign w:val="center"/>
          </w:tcPr>
          <w:p w14:paraId="61E8D11C">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3. Співрозробники Програми:</w:t>
            </w:r>
          </w:p>
        </w:tc>
        <w:tc>
          <w:tcPr>
            <w:tcW w:w="4771" w:type="dxa"/>
            <w:tcBorders>
              <w:top w:val="nil"/>
              <w:left w:val="nil"/>
              <w:bottom w:val="nil"/>
              <w:right w:val="nil"/>
            </w:tcBorders>
            <w:shd w:val="clear" w:color="auto" w:fill="FFFFFF"/>
            <w:vAlign w:val="center"/>
          </w:tcPr>
          <w:p w14:paraId="3BAB14A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 xml:space="preserve">Комунальні некомерційні підприємства ДМР підвідомчі відділу охорони здоров’я виконавчих органів ДМР. </w:t>
            </w:r>
          </w:p>
        </w:tc>
      </w:tr>
      <w:tr w14:paraId="18D03E4F">
        <w:tblPrEx>
          <w:tblCellMar>
            <w:top w:w="0" w:type="dxa"/>
            <w:left w:w="108" w:type="dxa"/>
            <w:bottom w:w="0" w:type="dxa"/>
            <w:right w:w="108" w:type="dxa"/>
          </w:tblCellMar>
        </w:tblPrEx>
        <w:trPr>
          <w:tblCellSpacing w:w="0" w:type="dxa"/>
        </w:trPr>
        <w:tc>
          <w:tcPr>
            <w:tcW w:w="4800" w:type="dxa"/>
            <w:tcBorders>
              <w:top w:val="nil"/>
              <w:left w:val="nil"/>
              <w:bottom w:val="nil"/>
              <w:right w:val="nil"/>
            </w:tcBorders>
            <w:shd w:val="clear" w:color="auto" w:fill="FFFFFF"/>
            <w:vAlign w:val="center"/>
          </w:tcPr>
          <w:p w14:paraId="34A4E8E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tc>
        <w:tc>
          <w:tcPr>
            <w:tcW w:w="4771" w:type="dxa"/>
            <w:tcBorders>
              <w:top w:val="nil"/>
              <w:left w:val="nil"/>
              <w:bottom w:val="nil"/>
              <w:right w:val="nil"/>
            </w:tcBorders>
            <w:shd w:val="clear" w:color="auto" w:fill="FFFFFF"/>
            <w:vAlign w:val="center"/>
          </w:tcPr>
          <w:p w14:paraId="35870B7B">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tc>
      </w:tr>
      <w:tr w14:paraId="2FE6C847">
        <w:tblPrEx>
          <w:tblCellMar>
            <w:top w:w="0" w:type="dxa"/>
            <w:left w:w="108" w:type="dxa"/>
            <w:bottom w:w="0" w:type="dxa"/>
            <w:right w:w="108" w:type="dxa"/>
          </w:tblCellMar>
        </w:tblPrEx>
        <w:trPr>
          <w:trHeight w:val="1802" w:hRule="atLeast"/>
          <w:tblCellSpacing w:w="0" w:type="dxa"/>
        </w:trPr>
        <w:tc>
          <w:tcPr>
            <w:tcW w:w="4800" w:type="dxa"/>
            <w:tcBorders>
              <w:top w:val="nil"/>
              <w:left w:val="nil"/>
              <w:bottom w:val="nil"/>
              <w:right w:val="nil"/>
            </w:tcBorders>
            <w:shd w:val="clear" w:color="auto" w:fill="FFFFFF"/>
            <w:vAlign w:val="center"/>
          </w:tcPr>
          <w:p w14:paraId="07F3214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4. Відповідальні виконавці Програми:</w:t>
            </w:r>
          </w:p>
        </w:tc>
        <w:tc>
          <w:tcPr>
            <w:tcW w:w="4771" w:type="dxa"/>
            <w:tcBorders>
              <w:top w:val="nil"/>
              <w:left w:val="nil"/>
              <w:bottom w:val="nil"/>
              <w:right w:val="nil"/>
            </w:tcBorders>
            <w:shd w:val="clear" w:color="auto" w:fill="FFFFFF"/>
            <w:vAlign w:val="center"/>
          </w:tcPr>
          <w:p w14:paraId="154FC28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Відділ охорони здоров’я виконавчих органів ДМР, комунальні некомерційні підприємства ДМР підвідомчі відділу охорони здоров’я ДМР, військово-лікарська комісія.</w:t>
            </w:r>
          </w:p>
        </w:tc>
      </w:tr>
      <w:tr w14:paraId="1FEC9156">
        <w:tblPrEx>
          <w:tblCellMar>
            <w:top w:w="0" w:type="dxa"/>
            <w:left w:w="108" w:type="dxa"/>
            <w:bottom w:w="0" w:type="dxa"/>
            <w:right w:w="108" w:type="dxa"/>
          </w:tblCellMar>
        </w:tblPrEx>
        <w:trPr>
          <w:trHeight w:val="128" w:hRule="atLeast"/>
          <w:tblCellSpacing w:w="0" w:type="dxa"/>
        </w:trPr>
        <w:tc>
          <w:tcPr>
            <w:tcW w:w="4800" w:type="dxa"/>
            <w:tcBorders>
              <w:top w:val="nil"/>
              <w:left w:val="nil"/>
              <w:bottom w:val="nil"/>
              <w:right w:val="nil"/>
            </w:tcBorders>
            <w:shd w:val="clear" w:color="auto" w:fill="FFFFFF"/>
            <w:vAlign w:val="center"/>
          </w:tcPr>
          <w:p w14:paraId="439E22B6">
            <w:pPr>
              <w:spacing w:after="0" w:line="240" w:lineRule="auto"/>
              <w:rPr>
                <w:rFonts w:ascii="Times New Roman" w:hAnsi="Times New Roman" w:eastAsia="Times New Roman" w:cs="Times New Roman"/>
                <w:sz w:val="24"/>
                <w:szCs w:val="24"/>
                <w:lang w:eastAsia="uk-UA"/>
              </w:rPr>
            </w:pPr>
          </w:p>
        </w:tc>
        <w:tc>
          <w:tcPr>
            <w:tcW w:w="4771" w:type="dxa"/>
            <w:tcBorders>
              <w:top w:val="nil"/>
              <w:left w:val="nil"/>
              <w:bottom w:val="nil"/>
              <w:right w:val="nil"/>
            </w:tcBorders>
            <w:shd w:val="clear" w:color="auto" w:fill="FFFFFF"/>
            <w:vAlign w:val="center"/>
          </w:tcPr>
          <w:p w14:paraId="24A66E92">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tc>
      </w:tr>
      <w:tr w14:paraId="48EF92A1">
        <w:tblPrEx>
          <w:tblCellMar>
            <w:top w:w="0" w:type="dxa"/>
            <w:left w:w="108" w:type="dxa"/>
            <w:bottom w:w="0" w:type="dxa"/>
            <w:right w:w="108" w:type="dxa"/>
          </w:tblCellMar>
        </w:tblPrEx>
        <w:trPr>
          <w:tblCellSpacing w:w="0" w:type="dxa"/>
        </w:trPr>
        <w:tc>
          <w:tcPr>
            <w:tcW w:w="4800" w:type="dxa"/>
            <w:tcBorders>
              <w:top w:val="nil"/>
              <w:left w:val="nil"/>
              <w:bottom w:val="nil"/>
              <w:right w:val="nil"/>
            </w:tcBorders>
            <w:shd w:val="clear" w:color="auto" w:fill="FFFFFF"/>
            <w:vAlign w:val="center"/>
          </w:tcPr>
          <w:p w14:paraId="51904FDB">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5. Учасники Програми:</w:t>
            </w:r>
          </w:p>
        </w:tc>
        <w:tc>
          <w:tcPr>
            <w:tcW w:w="4771" w:type="dxa"/>
            <w:tcBorders>
              <w:top w:val="nil"/>
              <w:left w:val="nil"/>
              <w:bottom w:val="nil"/>
              <w:right w:val="nil"/>
            </w:tcBorders>
            <w:shd w:val="clear" w:color="auto" w:fill="FFFFFF"/>
            <w:vAlign w:val="center"/>
          </w:tcPr>
          <w:p w14:paraId="28546691">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Відділ охорони здоров’я виконавчих органів ДМР, комунальні некомерційні підприємства ДМР підвідомчі відділу охорони здоров’я ДМР, військово-лікарська комісія.</w:t>
            </w:r>
          </w:p>
        </w:tc>
      </w:tr>
      <w:tr w14:paraId="616C1D31">
        <w:tblPrEx>
          <w:tblCellMar>
            <w:top w:w="0" w:type="dxa"/>
            <w:left w:w="108" w:type="dxa"/>
            <w:bottom w:w="0" w:type="dxa"/>
            <w:right w:w="108" w:type="dxa"/>
          </w:tblCellMar>
        </w:tblPrEx>
        <w:trPr>
          <w:tblCellSpacing w:w="0" w:type="dxa"/>
        </w:trPr>
        <w:tc>
          <w:tcPr>
            <w:tcW w:w="4800" w:type="dxa"/>
            <w:tcBorders>
              <w:top w:val="nil"/>
              <w:left w:val="nil"/>
              <w:bottom w:val="nil"/>
              <w:right w:val="nil"/>
            </w:tcBorders>
            <w:shd w:val="clear" w:color="auto" w:fill="FFFFFF"/>
            <w:vAlign w:val="center"/>
          </w:tcPr>
          <w:p w14:paraId="29D90F0B">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6. Терміни реалізації Програми:</w:t>
            </w:r>
          </w:p>
        </w:tc>
        <w:tc>
          <w:tcPr>
            <w:tcW w:w="4771" w:type="dxa"/>
            <w:tcBorders>
              <w:top w:val="nil"/>
              <w:left w:val="nil"/>
              <w:bottom w:val="nil"/>
              <w:right w:val="nil"/>
            </w:tcBorders>
            <w:shd w:val="clear" w:color="auto" w:fill="FFFFFF"/>
            <w:vAlign w:val="center"/>
          </w:tcPr>
          <w:p w14:paraId="0722E9B3">
            <w:pPr>
              <w:pStyle w:val="10"/>
              <w:jc w:val="center"/>
              <w:rPr>
                <w:rFonts w:ascii="Times New Roman" w:hAnsi="Times New Roman" w:cs="Times New Roman"/>
                <w:sz w:val="28"/>
                <w:szCs w:val="28"/>
                <w:lang w:eastAsia="uk-UA"/>
              </w:rPr>
            </w:pPr>
            <w:r>
              <w:rPr>
                <w:rFonts w:ascii="Times New Roman" w:hAnsi="Times New Roman" w:cs="Times New Roman"/>
                <w:sz w:val="28"/>
                <w:szCs w:val="28"/>
                <w:lang w:eastAsia="uk-UA"/>
              </w:rPr>
              <w:t>2025 рік.</w:t>
            </w:r>
          </w:p>
        </w:tc>
      </w:tr>
      <w:tr w14:paraId="30AA0664">
        <w:tblPrEx>
          <w:tblCellMar>
            <w:top w:w="0" w:type="dxa"/>
            <w:left w:w="108" w:type="dxa"/>
            <w:bottom w:w="0" w:type="dxa"/>
            <w:right w:w="108" w:type="dxa"/>
          </w:tblCellMar>
        </w:tblPrEx>
        <w:trPr>
          <w:trHeight w:val="291" w:hRule="atLeast"/>
          <w:tblCellSpacing w:w="0" w:type="dxa"/>
        </w:trPr>
        <w:tc>
          <w:tcPr>
            <w:tcW w:w="4800" w:type="dxa"/>
            <w:tcBorders>
              <w:top w:val="nil"/>
              <w:left w:val="nil"/>
              <w:bottom w:val="nil"/>
              <w:right w:val="nil"/>
            </w:tcBorders>
            <w:shd w:val="clear" w:color="auto" w:fill="FFFFFF"/>
            <w:vAlign w:val="center"/>
          </w:tcPr>
          <w:p w14:paraId="0BA8BE3D">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tc>
        <w:tc>
          <w:tcPr>
            <w:tcW w:w="4771" w:type="dxa"/>
            <w:tcBorders>
              <w:top w:val="nil"/>
              <w:left w:val="nil"/>
              <w:bottom w:val="nil"/>
              <w:right w:val="nil"/>
            </w:tcBorders>
            <w:shd w:val="clear" w:color="auto" w:fill="FFFFFF"/>
            <w:vAlign w:val="center"/>
          </w:tcPr>
          <w:p w14:paraId="6396F10A">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tc>
      </w:tr>
      <w:tr w14:paraId="2445BA58">
        <w:tblPrEx>
          <w:tblCellMar>
            <w:top w:w="0" w:type="dxa"/>
            <w:left w:w="108" w:type="dxa"/>
            <w:bottom w:w="0" w:type="dxa"/>
            <w:right w:w="108" w:type="dxa"/>
          </w:tblCellMar>
        </w:tblPrEx>
        <w:trPr>
          <w:trHeight w:val="888" w:hRule="atLeast"/>
          <w:tblCellSpacing w:w="0" w:type="dxa"/>
        </w:trPr>
        <w:tc>
          <w:tcPr>
            <w:tcW w:w="4800" w:type="dxa"/>
            <w:tcBorders>
              <w:top w:val="nil"/>
              <w:left w:val="nil"/>
              <w:bottom w:val="nil"/>
              <w:right w:val="nil"/>
            </w:tcBorders>
            <w:shd w:val="clear" w:color="auto" w:fill="FFFFFF"/>
            <w:vAlign w:val="center"/>
          </w:tcPr>
          <w:p w14:paraId="05C40A8A">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7. Загальний обсяг фінансових ресурсів, необхідних для реалізації Програми, усього, у тому числі:</w:t>
            </w:r>
          </w:p>
        </w:tc>
        <w:tc>
          <w:tcPr>
            <w:tcW w:w="4771" w:type="dxa"/>
            <w:tcBorders>
              <w:top w:val="nil"/>
              <w:left w:val="nil"/>
              <w:bottom w:val="nil"/>
              <w:right w:val="nil"/>
            </w:tcBorders>
            <w:shd w:val="clear" w:color="auto" w:fill="FFFFFF"/>
            <w:vAlign w:val="center"/>
          </w:tcPr>
          <w:p w14:paraId="4CD50C4D">
            <w:pPr>
              <w:pStyle w:val="10"/>
              <w:rPr>
                <w:rFonts w:ascii="Times New Roman" w:hAnsi="Times New Roman" w:cs="Times New Roman"/>
                <w:b/>
                <w:sz w:val="28"/>
                <w:szCs w:val="28"/>
                <w:lang w:eastAsia="uk-UA"/>
              </w:rPr>
            </w:pPr>
            <w:r>
              <w:rPr>
                <w:rFonts w:ascii="Times New Roman" w:hAnsi="Times New Roman" w:cs="Times New Roman"/>
                <w:b/>
                <w:color w:val="FF0000"/>
                <w:sz w:val="28"/>
                <w:szCs w:val="28"/>
                <w:lang w:val="ru-RU"/>
              </w:rPr>
              <w:t xml:space="preserve">                  </w:t>
            </w:r>
            <w:r>
              <w:rPr>
                <w:rFonts w:ascii="Times New Roman" w:hAnsi="Times New Roman" w:cs="Times New Roman"/>
                <w:b/>
                <w:color w:val="FF0000"/>
                <w:sz w:val="28"/>
                <w:szCs w:val="28"/>
                <w:lang w:val="en-US"/>
              </w:rPr>
              <w:t>329</w:t>
            </w:r>
            <w:r>
              <w:rPr>
                <w:rFonts w:ascii="Times New Roman" w:hAnsi="Times New Roman" w:cs="Times New Roman"/>
                <w:b/>
                <w:color w:val="FF0000"/>
                <w:sz w:val="28"/>
                <w:szCs w:val="28"/>
                <w:lang w:val="ru-RU"/>
              </w:rPr>
              <w:t>,6</w:t>
            </w:r>
            <w:r>
              <w:rPr>
                <w:rFonts w:ascii="Times New Roman" w:hAnsi="Times New Roman" w:cs="Times New Roman"/>
                <w:color w:val="FF0000"/>
                <w:sz w:val="28"/>
                <w:szCs w:val="28"/>
              </w:rPr>
              <w:t xml:space="preserve"> </w:t>
            </w:r>
            <w:r>
              <w:rPr>
                <w:rFonts w:ascii="Times New Roman" w:hAnsi="Times New Roman" w:cs="Times New Roman"/>
                <w:b/>
                <w:color w:val="FF0000"/>
                <w:sz w:val="28"/>
                <w:szCs w:val="28"/>
              </w:rPr>
              <w:t>тис</w:t>
            </w:r>
            <w:r>
              <w:rPr>
                <w:rFonts w:ascii="Times New Roman" w:hAnsi="Times New Roman" w:cs="Times New Roman"/>
                <w:b/>
                <w:sz w:val="28"/>
                <w:szCs w:val="28"/>
              </w:rPr>
              <w:t>. грн.</w:t>
            </w:r>
            <w:r>
              <w:rPr>
                <w:rFonts w:ascii="Times New Roman" w:hAnsi="Times New Roman" w:cs="Times New Roman"/>
                <w:b/>
                <w:sz w:val="28"/>
                <w:szCs w:val="28"/>
                <w:lang w:eastAsia="uk-UA"/>
              </w:rPr>
              <w:t xml:space="preserve"> </w:t>
            </w:r>
          </w:p>
        </w:tc>
      </w:tr>
      <w:tr w14:paraId="71119BDC">
        <w:tblPrEx>
          <w:tblCellMar>
            <w:top w:w="0" w:type="dxa"/>
            <w:left w:w="108" w:type="dxa"/>
            <w:bottom w:w="0" w:type="dxa"/>
            <w:right w:w="108" w:type="dxa"/>
          </w:tblCellMar>
        </w:tblPrEx>
        <w:trPr>
          <w:trHeight w:val="80" w:hRule="atLeast"/>
          <w:tblCellSpacing w:w="0" w:type="dxa"/>
        </w:trPr>
        <w:tc>
          <w:tcPr>
            <w:tcW w:w="4800" w:type="dxa"/>
            <w:tcBorders>
              <w:top w:val="nil"/>
              <w:left w:val="nil"/>
              <w:bottom w:val="nil"/>
              <w:right w:val="nil"/>
            </w:tcBorders>
            <w:shd w:val="clear" w:color="auto" w:fill="FFFFFF"/>
            <w:vAlign w:val="center"/>
          </w:tcPr>
          <w:p w14:paraId="220A89AD">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tc>
        <w:tc>
          <w:tcPr>
            <w:tcW w:w="4771" w:type="dxa"/>
            <w:tcBorders>
              <w:top w:val="nil"/>
              <w:left w:val="nil"/>
              <w:bottom w:val="nil"/>
              <w:right w:val="nil"/>
            </w:tcBorders>
            <w:shd w:val="clear" w:color="auto" w:fill="FFFFFF"/>
            <w:vAlign w:val="center"/>
          </w:tcPr>
          <w:p w14:paraId="0950852C">
            <w:pPr>
              <w:pStyle w:val="1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tc>
      </w:tr>
      <w:tr w14:paraId="2770C056">
        <w:tblPrEx>
          <w:tblCellMar>
            <w:top w:w="0" w:type="dxa"/>
            <w:left w:w="108" w:type="dxa"/>
            <w:bottom w:w="0" w:type="dxa"/>
            <w:right w:w="108" w:type="dxa"/>
          </w:tblCellMar>
        </w:tblPrEx>
        <w:trPr>
          <w:tblCellSpacing w:w="0" w:type="dxa"/>
        </w:trPr>
        <w:tc>
          <w:tcPr>
            <w:tcW w:w="4800" w:type="dxa"/>
            <w:tcBorders>
              <w:top w:val="nil"/>
              <w:left w:val="nil"/>
              <w:bottom w:val="nil"/>
              <w:right w:val="nil"/>
            </w:tcBorders>
            <w:shd w:val="clear" w:color="auto" w:fill="FFFFFF"/>
            <w:vAlign w:val="center"/>
          </w:tcPr>
          <w:p w14:paraId="4B952D93">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7.1. Кошти Дрогобицького міського  бюджету </w:t>
            </w:r>
          </w:p>
          <w:p w14:paraId="3502348C">
            <w:pPr>
              <w:pStyle w:val="10"/>
              <w:jc w:val="both"/>
              <w:rPr>
                <w:rFonts w:ascii="Times New Roman" w:hAnsi="Times New Roman" w:cs="Times New Roman"/>
                <w:sz w:val="28"/>
                <w:szCs w:val="28"/>
                <w:lang w:eastAsia="uk-UA"/>
              </w:rPr>
            </w:pPr>
          </w:p>
          <w:p w14:paraId="30A6B806">
            <w:pPr>
              <w:pStyle w:val="1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8. Головний розпорядник коштів                                  </w:t>
            </w:r>
          </w:p>
        </w:tc>
        <w:tc>
          <w:tcPr>
            <w:tcW w:w="4771" w:type="dxa"/>
            <w:tcBorders>
              <w:top w:val="nil"/>
              <w:left w:val="nil"/>
              <w:bottom w:val="nil"/>
              <w:right w:val="nil"/>
            </w:tcBorders>
            <w:shd w:val="clear" w:color="auto" w:fill="FFFFFF"/>
            <w:vAlign w:val="center"/>
          </w:tcPr>
          <w:p w14:paraId="06EE9DDE">
            <w:pPr>
              <w:pStyle w:val="10"/>
              <w:jc w:val="center"/>
              <w:rPr>
                <w:rFonts w:ascii="Times New Roman" w:hAnsi="Times New Roman" w:eastAsia="Times New Roman" w:cs="Times New Roman"/>
                <w:sz w:val="28"/>
                <w:szCs w:val="28"/>
                <w:lang w:eastAsia="uk-UA"/>
              </w:rPr>
            </w:pPr>
          </w:p>
          <w:p w14:paraId="0B2AFF68">
            <w:pPr>
              <w:pStyle w:val="10"/>
              <w:jc w:val="center"/>
              <w:rPr>
                <w:rFonts w:ascii="Times New Roman" w:hAnsi="Times New Roman" w:eastAsia="Times New Roman" w:cs="Times New Roman"/>
                <w:sz w:val="28"/>
                <w:szCs w:val="28"/>
                <w:lang w:eastAsia="uk-UA"/>
              </w:rPr>
            </w:pPr>
          </w:p>
          <w:p w14:paraId="0B94DD46">
            <w:pPr>
              <w:pStyle w:val="10"/>
              <w:rPr>
                <w:rFonts w:ascii="Times New Roman" w:hAnsi="Times New Roman" w:eastAsia="Times New Roman" w:cs="Times New Roman"/>
                <w:b/>
                <w:bCs/>
                <w:sz w:val="28"/>
                <w:szCs w:val="28"/>
                <w:lang w:eastAsia="uk-UA"/>
              </w:rPr>
            </w:pPr>
            <w:r>
              <w:rPr>
                <w:rFonts w:ascii="Times New Roman" w:hAnsi="Times New Roman" w:eastAsia="Times New Roman" w:cs="Times New Roman"/>
                <w:b/>
                <w:bCs/>
                <w:sz w:val="28"/>
                <w:szCs w:val="28"/>
                <w:lang w:eastAsia="uk-UA"/>
              </w:rPr>
              <w:t xml:space="preserve">                   180,6 тис.грн.</w:t>
            </w:r>
          </w:p>
          <w:p w14:paraId="68F98B83">
            <w:pPr>
              <w:pStyle w:val="10"/>
              <w:jc w:val="center"/>
              <w:rPr>
                <w:rFonts w:ascii="Times New Roman" w:hAnsi="Times New Roman" w:eastAsia="Times New Roman" w:cs="Times New Roman"/>
                <w:sz w:val="28"/>
                <w:szCs w:val="28"/>
                <w:lang w:eastAsia="uk-UA"/>
              </w:rPr>
            </w:pPr>
          </w:p>
          <w:p w14:paraId="486A0C90">
            <w:pPr>
              <w:pStyle w:val="10"/>
              <w:rPr>
                <w:rFonts w:ascii="Times New Roman" w:hAnsi="Times New Roman" w:cs="Times New Roman"/>
                <w:b/>
                <w:sz w:val="28"/>
                <w:szCs w:val="28"/>
                <w:lang w:eastAsia="uk-UA"/>
              </w:rPr>
            </w:pPr>
            <w:r>
              <w:rPr>
                <w:rFonts w:ascii="Times New Roman" w:hAnsi="Times New Roman" w:eastAsia="Times New Roman" w:cs="Times New Roman"/>
                <w:sz w:val="28"/>
                <w:szCs w:val="28"/>
                <w:lang w:eastAsia="uk-UA"/>
              </w:rPr>
              <w:t>Відділ охорони здоров’я виконавчих органів Дрогобицької міської ради</w:t>
            </w:r>
          </w:p>
        </w:tc>
      </w:tr>
    </w:tbl>
    <w:p w14:paraId="2B8F7CC8">
      <w:pPr>
        <w:pStyle w:val="10"/>
        <w:ind w:firstLine="708"/>
        <w:jc w:val="both"/>
        <w:rPr>
          <w:rFonts w:ascii="Times New Roman" w:hAnsi="Times New Roman" w:eastAsia="Times New Roman" w:cs="Times New Roman"/>
          <w:sz w:val="28"/>
          <w:szCs w:val="28"/>
          <w:lang w:eastAsia="uk-UA"/>
        </w:rPr>
      </w:pPr>
    </w:p>
    <w:p w14:paraId="3AB2E0D2">
      <w:pPr>
        <w:pStyle w:val="14"/>
        <w:spacing w:after="0"/>
        <w:ind w:left="0" w:firstLine="709"/>
        <w:jc w:val="both"/>
        <w:rPr>
          <w:rFonts w:ascii="Times New Roman" w:hAnsi="Times New Roman" w:cs="Times New Roman"/>
          <w:b/>
          <w:bCs/>
          <w:sz w:val="28"/>
          <w:szCs w:val="28"/>
        </w:rPr>
      </w:pPr>
    </w:p>
    <w:p w14:paraId="7B679BCC">
      <w:pPr>
        <w:pStyle w:val="14"/>
        <w:spacing w:after="0"/>
        <w:ind w:left="0" w:firstLine="709"/>
        <w:jc w:val="both"/>
        <w:rPr>
          <w:rFonts w:ascii="Times New Roman" w:hAnsi="Times New Roman" w:cs="Times New Roman"/>
          <w:b/>
          <w:bCs/>
          <w:sz w:val="28"/>
          <w:szCs w:val="28"/>
        </w:rPr>
      </w:pPr>
    </w:p>
    <w:p w14:paraId="50D0D433">
      <w:pPr>
        <w:pStyle w:val="14"/>
        <w:spacing w:after="0"/>
        <w:ind w:left="0" w:firstLine="709"/>
        <w:jc w:val="both"/>
        <w:rPr>
          <w:rFonts w:ascii="Times New Roman" w:hAnsi="Times New Roman" w:cs="Times New Roman"/>
          <w:b/>
          <w:bCs/>
          <w:sz w:val="28"/>
          <w:szCs w:val="28"/>
        </w:rPr>
      </w:pPr>
    </w:p>
    <w:p w14:paraId="7669825D">
      <w:pPr>
        <w:spacing w:after="0"/>
        <w:jc w:val="both"/>
        <w:rPr>
          <w:rFonts w:ascii="Times New Roman" w:hAnsi="Times New Roman" w:cs="Times New Roman"/>
          <w:b/>
          <w:bCs/>
          <w:sz w:val="28"/>
          <w:szCs w:val="28"/>
        </w:rPr>
      </w:pPr>
      <w:r>
        <w:rPr>
          <w:rFonts w:ascii="Times New Roman" w:hAnsi="Times New Roman" w:cs="Times New Roman"/>
          <w:b/>
          <w:bCs/>
          <w:sz w:val="28"/>
          <w:szCs w:val="28"/>
        </w:rPr>
        <w:t>Начальник відділу                                        Володимир ЧУБА</w:t>
      </w:r>
    </w:p>
    <w:p w14:paraId="48BB21D2">
      <w:pPr>
        <w:spacing w:after="0"/>
        <w:jc w:val="both"/>
        <w:rPr>
          <w:rFonts w:ascii="Times New Roman" w:hAnsi="Times New Roman" w:cs="Times New Roman"/>
          <w:b/>
          <w:bCs/>
          <w:sz w:val="28"/>
          <w:szCs w:val="28"/>
        </w:rPr>
      </w:pPr>
    </w:p>
    <w:p w14:paraId="4E0D4ED4">
      <w:pPr>
        <w:spacing w:after="0"/>
        <w:jc w:val="both"/>
        <w:rPr>
          <w:rFonts w:ascii="Times New Roman" w:hAnsi="Times New Roman" w:cs="Times New Roman"/>
          <w:b/>
          <w:bCs/>
          <w:sz w:val="28"/>
          <w:szCs w:val="28"/>
        </w:rPr>
        <w:sectPr>
          <w:pgSz w:w="11906" w:h="16838"/>
          <w:pgMar w:top="851" w:right="851" w:bottom="1134" w:left="1418" w:header="709" w:footer="709" w:gutter="0"/>
          <w:cols w:space="708" w:num="1"/>
          <w:docGrid w:linePitch="360" w:charSpace="0"/>
        </w:sectPr>
      </w:pPr>
      <w:r>
        <w:rPr>
          <w:rFonts w:ascii="Times New Roman" w:hAnsi="Times New Roman" w:cs="Times New Roman"/>
          <w:b/>
          <w:bCs/>
          <w:sz w:val="28"/>
          <w:szCs w:val="28"/>
        </w:rPr>
        <w:t xml:space="preserve">          </w:t>
      </w:r>
    </w:p>
    <w:p w14:paraId="6F95F72D">
      <w:pPr>
        <w:jc w:val="right"/>
        <w:rPr>
          <w:rFonts w:ascii="Times New Roman" w:hAnsi="Times New Roman" w:cs="Times New Roman"/>
          <w:sz w:val="28"/>
          <w:szCs w:val="28"/>
        </w:rPr>
      </w:pPr>
      <w:r>
        <w:rPr>
          <w:rFonts w:ascii="Times New Roman" w:hAnsi="Times New Roman" w:cs="Times New Roman"/>
          <w:sz w:val="28"/>
          <w:szCs w:val="28"/>
        </w:rPr>
        <w:t>Додаток 1</w:t>
      </w:r>
    </w:p>
    <w:tbl>
      <w:tblPr>
        <w:tblStyle w:val="9"/>
        <w:tblpPr w:leftFromText="180" w:rightFromText="180" w:vertAnchor="text" w:horzAnchor="margin" w:tblpY="52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2042"/>
        <w:gridCol w:w="1586"/>
        <w:gridCol w:w="1445"/>
        <w:gridCol w:w="1317"/>
        <w:gridCol w:w="1983"/>
        <w:gridCol w:w="1632"/>
        <w:gridCol w:w="2979"/>
      </w:tblGrid>
      <w:tr w14:paraId="2627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14:paraId="673863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Інформація про  витрати на утримання відділення військово-лікарської комісії у 2025 році згідно пакету№60 , </w:t>
            </w:r>
          </w:p>
          <w:p w14:paraId="79434E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тис. грн.</w:t>
            </w:r>
          </w:p>
        </w:tc>
      </w:tr>
      <w:tr w14:paraId="73FE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2150" w:type="dxa"/>
            <w:vMerge w:val="restart"/>
          </w:tcPr>
          <w:p w14:paraId="5BE5D0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Зайнятість, відповідно до штатного розпису установи  (навантаження по 0,5ст. посади)</w:t>
            </w:r>
          </w:p>
        </w:tc>
        <w:tc>
          <w:tcPr>
            <w:tcW w:w="2042" w:type="dxa"/>
            <w:vMerge w:val="restart"/>
          </w:tcPr>
          <w:p w14:paraId="1A88E2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Заробітна плата відповідно до зайнятості  згідно з штатним розкладом, за місяць</w:t>
            </w:r>
          </w:p>
        </w:tc>
        <w:tc>
          <w:tcPr>
            <w:tcW w:w="1586" w:type="dxa"/>
            <w:vMerge w:val="restart"/>
          </w:tcPr>
          <w:p w14:paraId="1054FD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Доплата до рівня згідно Постанови КМУ №28 від 13.01.2023 за місяць</w:t>
            </w:r>
          </w:p>
        </w:tc>
        <w:tc>
          <w:tcPr>
            <w:tcW w:w="2762" w:type="dxa"/>
            <w:gridSpan w:val="2"/>
          </w:tcPr>
          <w:p w14:paraId="27990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Заробітна плата за місяць згідно штатного розпису,лікарі-20 тис грн., середній медперсонал 13,5 тис грн.</w:t>
            </w:r>
          </w:p>
        </w:tc>
        <w:tc>
          <w:tcPr>
            <w:tcW w:w="1983" w:type="dxa"/>
            <w:vMerge w:val="restart"/>
          </w:tcPr>
          <w:p w14:paraId="356A1E0B">
            <w:pPr>
              <w:spacing w:after="0" w:line="240" w:lineRule="auto"/>
              <w:jc w:val="center"/>
              <w:rPr>
                <w:rFonts w:ascii="Times New Roman" w:hAnsi="Times New Roman" w:cs="Times New Roman"/>
                <w:sz w:val="28"/>
                <w:szCs w:val="28"/>
              </w:rPr>
            </w:pPr>
          </w:p>
          <w:p w14:paraId="430F5B45">
            <w:pPr>
              <w:spacing w:after="0" w:line="240" w:lineRule="auto"/>
              <w:jc w:val="center"/>
              <w:rPr>
                <w:rFonts w:ascii="Times New Roman" w:hAnsi="Times New Roman" w:cs="Times New Roman"/>
                <w:sz w:val="28"/>
                <w:szCs w:val="28"/>
              </w:rPr>
            </w:pPr>
          </w:p>
          <w:p w14:paraId="3F2D46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Виплати на оплату праці   ( оздоровчі,    на оплату додаткового навантаження)</w:t>
            </w:r>
          </w:p>
        </w:tc>
        <w:tc>
          <w:tcPr>
            <w:tcW w:w="1632" w:type="dxa"/>
            <w:vMerge w:val="restart"/>
          </w:tcPr>
          <w:p w14:paraId="46FC2D50">
            <w:pPr>
              <w:spacing w:after="0" w:line="240" w:lineRule="auto"/>
              <w:jc w:val="center"/>
              <w:rPr>
                <w:rFonts w:ascii="Times New Roman" w:hAnsi="Times New Roman" w:cs="Times New Roman"/>
                <w:sz w:val="28"/>
                <w:szCs w:val="28"/>
              </w:rPr>
            </w:pPr>
          </w:p>
          <w:p w14:paraId="53633C30">
            <w:pPr>
              <w:spacing w:after="0" w:line="240" w:lineRule="auto"/>
              <w:jc w:val="center"/>
              <w:rPr>
                <w:rFonts w:ascii="Times New Roman" w:hAnsi="Times New Roman" w:cs="Times New Roman"/>
                <w:sz w:val="28"/>
                <w:szCs w:val="28"/>
              </w:rPr>
            </w:pPr>
          </w:p>
          <w:p w14:paraId="2108ED62">
            <w:pPr>
              <w:spacing w:after="0" w:line="240" w:lineRule="auto"/>
              <w:jc w:val="center"/>
              <w:rPr>
                <w:rFonts w:ascii="Times New Roman" w:hAnsi="Times New Roman" w:cs="Times New Roman"/>
                <w:sz w:val="28"/>
                <w:szCs w:val="28"/>
              </w:rPr>
            </w:pPr>
          </w:p>
          <w:p w14:paraId="6E878A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РАЗОМ фонд оплати праці на рік</w:t>
            </w:r>
          </w:p>
        </w:tc>
        <w:tc>
          <w:tcPr>
            <w:tcW w:w="2979" w:type="dxa"/>
            <w:vMerge w:val="restart"/>
          </w:tcPr>
          <w:p w14:paraId="60D204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Інші лабораторні та діагностичні  дослідження, з розрахунку середньої кількості прийнятих осіб по пакету 2025 року, що становить 4428 особи.</w:t>
            </w:r>
          </w:p>
        </w:tc>
      </w:tr>
      <w:tr w14:paraId="4B14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50" w:type="dxa"/>
            <w:vMerge w:val="continue"/>
          </w:tcPr>
          <w:p w14:paraId="7EE1CE83">
            <w:pPr>
              <w:spacing w:after="0" w:line="240" w:lineRule="auto"/>
              <w:rPr>
                <w:rFonts w:ascii="Times New Roman" w:hAnsi="Times New Roman" w:cs="Times New Roman"/>
                <w:sz w:val="28"/>
                <w:szCs w:val="28"/>
              </w:rPr>
            </w:pPr>
          </w:p>
        </w:tc>
        <w:tc>
          <w:tcPr>
            <w:tcW w:w="2042" w:type="dxa"/>
            <w:vMerge w:val="continue"/>
          </w:tcPr>
          <w:p w14:paraId="37BC7F49">
            <w:pPr>
              <w:spacing w:after="0" w:line="240" w:lineRule="auto"/>
              <w:rPr>
                <w:rFonts w:ascii="Times New Roman" w:hAnsi="Times New Roman" w:cs="Times New Roman"/>
                <w:b/>
                <w:sz w:val="28"/>
                <w:szCs w:val="28"/>
              </w:rPr>
            </w:pPr>
          </w:p>
        </w:tc>
        <w:tc>
          <w:tcPr>
            <w:tcW w:w="1586" w:type="dxa"/>
            <w:vMerge w:val="continue"/>
          </w:tcPr>
          <w:p w14:paraId="556BEB8F">
            <w:pPr>
              <w:spacing w:after="0" w:line="240" w:lineRule="auto"/>
              <w:rPr>
                <w:rFonts w:ascii="Times New Roman" w:hAnsi="Times New Roman" w:cs="Times New Roman"/>
                <w:sz w:val="28"/>
                <w:szCs w:val="28"/>
              </w:rPr>
            </w:pPr>
          </w:p>
        </w:tc>
        <w:tc>
          <w:tcPr>
            <w:tcW w:w="1445" w:type="dxa"/>
          </w:tcPr>
          <w:p w14:paraId="2838B733">
            <w:pPr>
              <w:spacing w:after="0" w:line="240" w:lineRule="auto"/>
              <w:rPr>
                <w:rFonts w:ascii="Times New Roman" w:hAnsi="Times New Roman" w:cs="Times New Roman"/>
                <w:sz w:val="28"/>
                <w:szCs w:val="28"/>
              </w:rPr>
            </w:pPr>
            <w:r>
              <w:rPr>
                <w:rFonts w:ascii="Times New Roman" w:hAnsi="Times New Roman" w:cs="Times New Roman"/>
                <w:sz w:val="28"/>
                <w:szCs w:val="28"/>
              </w:rPr>
              <w:t>За місяць</w:t>
            </w:r>
          </w:p>
        </w:tc>
        <w:tc>
          <w:tcPr>
            <w:tcW w:w="1317" w:type="dxa"/>
          </w:tcPr>
          <w:p w14:paraId="22D8E8BC">
            <w:pPr>
              <w:spacing w:after="0" w:line="240" w:lineRule="auto"/>
              <w:rPr>
                <w:rFonts w:ascii="Times New Roman" w:hAnsi="Times New Roman" w:cs="Times New Roman"/>
                <w:sz w:val="28"/>
                <w:szCs w:val="28"/>
              </w:rPr>
            </w:pPr>
            <w:r>
              <w:rPr>
                <w:rFonts w:ascii="Times New Roman" w:hAnsi="Times New Roman" w:cs="Times New Roman"/>
                <w:sz w:val="28"/>
                <w:szCs w:val="28"/>
              </w:rPr>
              <w:t>За рік</w:t>
            </w:r>
          </w:p>
        </w:tc>
        <w:tc>
          <w:tcPr>
            <w:tcW w:w="1983" w:type="dxa"/>
            <w:vMerge w:val="continue"/>
          </w:tcPr>
          <w:p w14:paraId="76653987">
            <w:pPr>
              <w:spacing w:after="0" w:line="240" w:lineRule="auto"/>
              <w:rPr>
                <w:rFonts w:ascii="Times New Roman" w:hAnsi="Times New Roman" w:cs="Times New Roman"/>
                <w:b/>
                <w:sz w:val="28"/>
                <w:szCs w:val="28"/>
              </w:rPr>
            </w:pPr>
          </w:p>
        </w:tc>
        <w:tc>
          <w:tcPr>
            <w:tcW w:w="1632" w:type="dxa"/>
            <w:vMerge w:val="continue"/>
          </w:tcPr>
          <w:p w14:paraId="245CE9F4">
            <w:pPr>
              <w:spacing w:after="0" w:line="240" w:lineRule="auto"/>
              <w:rPr>
                <w:rFonts w:ascii="Times New Roman" w:hAnsi="Times New Roman" w:cs="Times New Roman"/>
                <w:b/>
                <w:sz w:val="28"/>
                <w:szCs w:val="28"/>
              </w:rPr>
            </w:pPr>
          </w:p>
        </w:tc>
        <w:tc>
          <w:tcPr>
            <w:tcW w:w="2979" w:type="dxa"/>
            <w:vMerge w:val="continue"/>
          </w:tcPr>
          <w:p w14:paraId="1B87FD80">
            <w:pPr>
              <w:spacing w:after="0" w:line="240" w:lineRule="auto"/>
              <w:rPr>
                <w:rFonts w:ascii="Times New Roman" w:hAnsi="Times New Roman" w:cs="Times New Roman"/>
                <w:b/>
                <w:sz w:val="28"/>
                <w:szCs w:val="28"/>
              </w:rPr>
            </w:pPr>
          </w:p>
        </w:tc>
      </w:tr>
      <w:tr w14:paraId="2C07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78D83DB0">
            <w:pPr>
              <w:spacing w:after="0" w:line="240" w:lineRule="auto"/>
              <w:rPr>
                <w:rFonts w:ascii="Times New Roman" w:hAnsi="Times New Roman" w:cs="Times New Roman"/>
                <w:sz w:val="28"/>
                <w:szCs w:val="28"/>
              </w:rPr>
            </w:pPr>
            <w:r>
              <w:rPr>
                <w:rFonts w:ascii="Times New Roman" w:hAnsi="Times New Roman" w:cs="Times New Roman"/>
                <w:sz w:val="28"/>
                <w:szCs w:val="28"/>
              </w:rPr>
              <w:t>4,5 ст. лікарських посад</w:t>
            </w:r>
          </w:p>
        </w:tc>
        <w:tc>
          <w:tcPr>
            <w:tcW w:w="2042" w:type="dxa"/>
          </w:tcPr>
          <w:p w14:paraId="1AC37057">
            <w:pPr>
              <w:spacing w:after="0" w:line="240" w:lineRule="auto"/>
              <w:rPr>
                <w:rFonts w:ascii="Times New Roman" w:hAnsi="Times New Roman" w:cs="Times New Roman"/>
                <w:sz w:val="28"/>
                <w:szCs w:val="28"/>
              </w:rPr>
            </w:pPr>
            <w:r>
              <w:rPr>
                <w:rFonts w:ascii="Times New Roman" w:hAnsi="Times New Roman" w:cs="Times New Roman"/>
                <w:sz w:val="28"/>
                <w:szCs w:val="28"/>
              </w:rPr>
              <w:t>40,3</w:t>
            </w:r>
          </w:p>
        </w:tc>
        <w:tc>
          <w:tcPr>
            <w:tcW w:w="1586" w:type="dxa"/>
          </w:tcPr>
          <w:p w14:paraId="56B9868E">
            <w:pPr>
              <w:spacing w:after="0" w:line="240" w:lineRule="auto"/>
              <w:rPr>
                <w:rFonts w:ascii="Times New Roman" w:hAnsi="Times New Roman" w:cs="Times New Roman"/>
                <w:sz w:val="28"/>
                <w:szCs w:val="28"/>
              </w:rPr>
            </w:pPr>
            <w:r>
              <w:rPr>
                <w:rFonts w:ascii="Times New Roman" w:hAnsi="Times New Roman" w:cs="Times New Roman"/>
                <w:sz w:val="28"/>
                <w:szCs w:val="28"/>
              </w:rPr>
              <w:t>49,7</w:t>
            </w:r>
          </w:p>
        </w:tc>
        <w:tc>
          <w:tcPr>
            <w:tcW w:w="1445" w:type="dxa"/>
          </w:tcPr>
          <w:p w14:paraId="266BE455">
            <w:pPr>
              <w:spacing w:after="0" w:line="240" w:lineRule="auto"/>
              <w:rPr>
                <w:rFonts w:ascii="Times New Roman" w:hAnsi="Times New Roman" w:cs="Times New Roman"/>
                <w:sz w:val="28"/>
                <w:szCs w:val="28"/>
              </w:rPr>
            </w:pPr>
            <w:r>
              <w:rPr>
                <w:rFonts w:ascii="Times New Roman" w:hAnsi="Times New Roman" w:cs="Times New Roman"/>
                <w:sz w:val="28"/>
                <w:szCs w:val="28"/>
              </w:rPr>
              <w:t>90,0</w:t>
            </w:r>
          </w:p>
        </w:tc>
        <w:tc>
          <w:tcPr>
            <w:tcW w:w="1317" w:type="dxa"/>
          </w:tcPr>
          <w:p w14:paraId="14235631">
            <w:pPr>
              <w:spacing w:after="0" w:line="240" w:lineRule="auto"/>
              <w:rPr>
                <w:rFonts w:ascii="Times New Roman" w:hAnsi="Times New Roman" w:cs="Times New Roman"/>
                <w:sz w:val="28"/>
                <w:szCs w:val="28"/>
              </w:rPr>
            </w:pPr>
            <w:r>
              <w:rPr>
                <w:rFonts w:ascii="Times New Roman" w:hAnsi="Times New Roman" w:cs="Times New Roman"/>
                <w:sz w:val="28"/>
                <w:szCs w:val="28"/>
              </w:rPr>
              <w:t>1080,0</w:t>
            </w:r>
          </w:p>
        </w:tc>
        <w:tc>
          <w:tcPr>
            <w:tcW w:w="1983" w:type="dxa"/>
          </w:tcPr>
          <w:p w14:paraId="2AAE49F4">
            <w:pPr>
              <w:spacing w:after="0" w:line="240" w:lineRule="auto"/>
              <w:rPr>
                <w:rFonts w:ascii="Times New Roman" w:hAnsi="Times New Roman" w:cs="Times New Roman"/>
                <w:sz w:val="28"/>
                <w:szCs w:val="28"/>
              </w:rPr>
            </w:pPr>
            <w:r>
              <w:rPr>
                <w:rFonts w:ascii="Times New Roman" w:hAnsi="Times New Roman" w:cs="Times New Roman"/>
                <w:sz w:val="28"/>
                <w:szCs w:val="28"/>
              </w:rPr>
              <w:t>321,8</w:t>
            </w:r>
          </w:p>
        </w:tc>
        <w:tc>
          <w:tcPr>
            <w:tcW w:w="1632" w:type="dxa"/>
          </w:tcPr>
          <w:p w14:paraId="7B57D94C">
            <w:pPr>
              <w:spacing w:after="0" w:line="240" w:lineRule="auto"/>
              <w:rPr>
                <w:rFonts w:ascii="Times New Roman" w:hAnsi="Times New Roman" w:cs="Times New Roman"/>
                <w:sz w:val="28"/>
                <w:szCs w:val="28"/>
              </w:rPr>
            </w:pPr>
            <w:r>
              <w:rPr>
                <w:rFonts w:ascii="Times New Roman" w:hAnsi="Times New Roman" w:cs="Times New Roman"/>
                <w:sz w:val="28"/>
                <w:szCs w:val="28"/>
              </w:rPr>
              <w:t>1401,8</w:t>
            </w:r>
          </w:p>
        </w:tc>
        <w:tc>
          <w:tcPr>
            <w:tcW w:w="2979" w:type="dxa"/>
          </w:tcPr>
          <w:p w14:paraId="743839A2">
            <w:pPr>
              <w:spacing w:after="0" w:line="240" w:lineRule="auto"/>
              <w:rPr>
                <w:rFonts w:ascii="Times New Roman" w:hAnsi="Times New Roman" w:cs="Times New Roman"/>
                <w:sz w:val="28"/>
                <w:szCs w:val="28"/>
              </w:rPr>
            </w:pPr>
            <w:r>
              <w:rPr>
                <w:rFonts w:ascii="Times New Roman" w:hAnsi="Times New Roman" w:cs="Times New Roman"/>
                <w:sz w:val="28"/>
                <w:szCs w:val="28"/>
              </w:rPr>
              <w:t>Флюорографія = 30,0 грн *4428 ос. = 132,8 тис. грн</w:t>
            </w:r>
          </w:p>
        </w:tc>
      </w:tr>
      <w:tr w14:paraId="606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482704CD">
            <w:pPr>
              <w:spacing w:after="0" w:line="240" w:lineRule="auto"/>
              <w:rPr>
                <w:rFonts w:ascii="Times New Roman" w:hAnsi="Times New Roman" w:cs="Times New Roman"/>
                <w:sz w:val="28"/>
                <w:szCs w:val="28"/>
              </w:rPr>
            </w:pPr>
            <w:r>
              <w:rPr>
                <w:rFonts w:ascii="Times New Roman" w:hAnsi="Times New Roman" w:cs="Times New Roman"/>
                <w:sz w:val="28"/>
                <w:szCs w:val="28"/>
              </w:rPr>
              <w:t>6,5 ст. сестринських посад</w:t>
            </w:r>
          </w:p>
        </w:tc>
        <w:tc>
          <w:tcPr>
            <w:tcW w:w="2042" w:type="dxa"/>
          </w:tcPr>
          <w:p w14:paraId="1BEFFD8C">
            <w:pPr>
              <w:spacing w:after="0" w:line="240" w:lineRule="auto"/>
              <w:rPr>
                <w:rFonts w:ascii="Times New Roman" w:hAnsi="Times New Roman" w:cs="Times New Roman"/>
                <w:sz w:val="28"/>
                <w:szCs w:val="28"/>
              </w:rPr>
            </w:pPr>
            <w:r>
              <w:rPr>
                <w:rFonts w:ascii="Times New Roman" w:hAnsi="Times New Roman" w:cs="Times New Roman"/>
                <w:sz w:val="28"/>
                <w:szCs w:val="28"/>
              </w:rPr>
              <w:t>52,0</w:t>
            </w:r>
          </w:p>
        </w:tc>
        <w:tc>
          <w:tcPr>
            <w:tcW w:w="1586" w:type="dxa"/>
          </w:tcPr>
          <w:p w14:paraId="60DEABDD">
            <w:pPr>
              <w:spacing w:after="0" w:line="240" w:lineRule="auto"/>
              <w:rPr>
                <w:rFonts w:ascii="Times New Roman" w:hAnsi="Times New Roman" w:cs="Times New Roman"/>
                <w:sz w:val="28"/>
                <w:szCs w:val="28"/>
              </w:rPr>
            </w:pPr>
            <w:r>
              <w:rPr>
                <w:rFonts w:ascii="Times New Roman" w:hAnsi="Times New Roman" w:cs="Times New Roman"/>
                <w:sz w:val="28"/>
                <w:szCs w:val="28"/>
              </w:rPr>
              <w:t>35,8</w:t>
            </w:r>
          </w:p>
        </w:tc>
        <w:tc>
          <w:tcPr>
            <w:tcW w:w="1445" w:type="dxa"/>
          </w:tcPr>
          <w:p w14:paraId="59742C7A">
            <w:pPr>
              <w:spacing w:after="0" w:line="240" w:lineRule="auto"/>
              <w:rPr>
                <w:rFonts w:ascii="Times New Roman" w:hAnsi="Times New Roman" w:cs="Times New Roman"/>
                <w:sz w:val="28"/>
                <w:szCs w:val="28"/>
              </w:rPr>
            </w:pPr>
            <w:r>
              <w:rPr>
                <w:rFonts w:ascii="Times New Roman" w:hAnsi="Times New Roman" w:cs="Times New Roman"/>
                <w:sz w:val="28"/>
                <w:szCs w:val="28"/>
              </w:rPr>
              <w:t>87,8</w:t>
            </w:r>
          </w:p>
        </w:tc>
        <w:tc>
          <w:tcPr>
            <w:tcW w:w="1317" w:type="dxa"/>
          </w:tcPr>
          <w:p w14:paraId="58DB33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1053,6</w:t>
            </w:r>
          </w:p>
        </w:tc>
        <w:tc>
          <w:tcPr>
            <w:tcW w:w="1983" w:type="dxa"/>
          </w:tcPr>
          <w:p w14:paraId="6C5137D6">
            <w:pPr>
              <w:spacing w:after="0" w:line="240" w:lineRule="auto"/>
              <w:rPr>
                <w:rFonts w:ascii="Times New Roman" w:hAnsi="Times New Roman" w:cs="Times New Roman"/>
                <w:sz w:val="28"/>
                <w:szCs w:val="28"/>
              </w:rPr>
            </w:pPr>
            <w:r>
              <w:rPr>
                <w:rFonts w:ascii="Times New Roman" w:hAnsi="Times New Roman" w:cs="Times New Roman"/>
                <w:sz w:val="28"/>
                <w:szCs w:val="28"/>
              </w:rPr>
              <w:t>313,9</w:t>
            </w:r>
          </w:p>
        </w:tc>
        <w:tc>
          <w:tcPr>
            <w:tcW w:w="1632" w:type="dxa"/>
          </w:tcPr>
          <w:p w14:paraId="02D7F905">
            <w:pPr>
              <w:spacing w:after="0" w:line="240" w:lineRule="auto"/>
              <w:rPr>
                <w:rFonts w:ascii="Times New Roman" w:hAnsi="Times New Roman" w:cs="Times New Roman"/>
                <w:sz w:val="28"/>
                <w:szCs w:val="28"/>
              </w:rPr>
            </w:pPr>
            <w:r>
              <w:rPr>
                <w:rFonts w:ascii="Times New Roman" w:hAnsi="Times New Roman" w:cs="Times New Roman"/>
                <w:sz w:val="28"/>
                <w:szCs w:val="28"/>
              </w:rPr>
              <w:t>1367,5</w:t>
            </w:r>
          </w:p>
        </w:tc>
        <w:tc>
          <w:tcPr>
            <w:tcW w:w="2979" w:type="dxa"/>
          </w:tcPr>
          <w:p w14:paraId="3278D410">
            <w:pPr>
              <w:spacing w:after="0" w:line="240" w:lineRule="auto"/>
              <w:rPr>
                <w:rFonts w:ascii="Times New Roman" w:hAnsi="Times New Roman" w:cs="Times New Roman"/>
                <w:sz w:val="28"/>
                <w:szCs w:val="28"/>
              </w:rPr>
            </w:pPr>
            <w:r>
              <w:rPr>
                <w:rFonts w:ascii="Times New Roman" w:hAnsi="Times New Roman" w:cs="Times New Roman"/>
                <w:sz w:val="28"/>
                <w:szCs w:val="28"/>
              </w:rPr>
              <w:t>Гепатити в, С = 73 грн *4428 ос. = 323,2 тис. грн</w:t>
            </w:r>
          </w:p>
        </w:tc>
      </w:tr>
      <w:tr w14:paraId="20AF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50" w:type="dxa"/>
          </w:tcPr>
          <w:p w14:paraId="32F3B7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Разом </w:t>
            </w:r>
          </w:p>
        </w:tc>
        <w:tc>
          <w:tcPr>
            <w:tcW w:w="2042" w:type="dxa"/>
          </w:tcPr>
          <w:p w14:paraId="4ACB3E9D">
            <w:pPr>
              <w:spacing w:after="0" w:line="240" w:lineRule="auto"/>
              <w:rPr>
                <w:rFonts w:ascii="Times New Roman" w:hAnsi="Times New Roman" w:cs="Times New Roman"/>
                <w:sz w:val="28"/>
                <w:szCs w:val="28"/>
              </w:rPr>
            </w:pPr>
            <w:r>
              <w:rPr>
                <w:rFonts w:ascii="Times New Roman" w:hAnsi="Times New Roman" w:cs="Times New Roman"/>
                <w:sz w:val="28"/>
                <w:szCs w:val="28"/>
              </w:rPr>
              <w:t>92,3</w:t>
            </w:r>
          </w:p>
        </w:tc>
        <w:tc>
          <w:tcPr>
            <w:tcW w:w="1586" w:type="dxa"/>
          </w:tcPr>
          <w:p w14:paraId="722DF7BB">
            <w:pPr>
              <w:spacing w:after="0" w:line="240" w:lineRule="auto"/>
              <w:rPr>
                <w:rFonts w:ascii="Times New Roman" w:hAnsi="Times New Roman" w:cs="Times New Roman"/>
                <w:sz w:val="28"/>
                <w:szCs w:val="28"/>
              </w:rPr>
            </w:pPr>
            <w:r>
              <w:rPr>
                <w:rFonts w:ascii="Times New Roman" w:hAnsi="Times New Roman" w:cs="Times New Roman"/>
                <w:sz w:val="28"/>
                <w:szCs w:val="28"/>
              </w:rPr>
              <w:t>85,5</w:t>
            </w:r>
          </w:p>
        </w:tc>
        <w:tc>
          <w:tcPr>
            <w:tcW w:w="1445" w:type="dxa"/>
          </w:tcPr>
          <w:p w14:paraId="6885B3F2">
            <w:pPr>
              <w:spacing w:after="0" w:line="240" w:lineRule="auto"/>
              <w:rPr>
                <w:rFonts w:ascii="Times New Roman" w:hAnsi="Times New Roman" w:cs="Times New Roman"/>
                <w:sz w:val="28"/>
                <w:szCs w:val="28"/>
              </w:rPr>
            </w:pPr>
            <w:r>
              <w:rPr>
                <w:rFonts w:ascii="Times New Roman" w:hAnsi="Times New Roman" w:cs="Times New Roman"/>
                <w:sz w:val="28"/>
                <w:szCs w:val="28"/>
              </w:rPr>
              <w:t>177,8</w:t>
            </w:r>
          </w:p>
        </w:tc>
        <w:tc>
          <w:tcPr>
            <w:tcW w:w="1317" w:type="dxa"/>
          </w:tcPr>
          <w:p w14:paraId="6C554438">
            <w:pPr>
              <w:spacing w:after="0" w:line="240" w:lineRule="auto"/>
              <w:rPr>
                <w:rFonts w:ascii="Times New Roman" w:hAnsi="Times New Roman" w:cs="Times New Roman"/>
                <w:sz w:val="28"/>
                <w:szCs w:val="28"/>
              </w:rPr>
            </w:pPr>
            <w:r>
              <w:rPr>
                <w:rFonts w:ascii="Times New Roman" w:hAnsi="Times New Roman" w:cs="Times New Roman"/>
                <w:sz w:val="28"/>
                <w:szCs w:val="28"/>
              </w:rPr>
              <w:t>2133,6</w:t>
            </w:r>
          </w:p>
        </w:tc>
        <w:tc>
          <w:tcPr>
            <w:tcW w:w="1983" w:type="dxa"/>
          </w:tcPr>
          <w:p w14:paraId="1E271B78">
            <w:pPr>
              <w:spacing w:after="0" w:line="240" w:lineRule="auto"/>
              <w:rPr>
                <w:rFonts w:ascii="Times New Roman" w:hAnsi="Times New Roman" w:cs="Times New Roman"/>
                <w:sz w:val="28"/>
                <w:szCs w:val="28"/>
              </w:rPr>
            </w:pPr>
            <w:r>
              <w:rPr>
                <w:rFonts w:ascii="Times New Roman" w:hAnsi="Times New Roman" w:cs="Times New Roman"/>
                <w:sz w:val="28"/>
                <w:szCs w:val="28"/>
              </w:rPr>
              <w:t>635,7</w:t>
            </w:r>
          </w:p>
        </w:tc>
        <w:tc>
          <w:tcPr>
            <w:tcW w:w="1632" w:type="dxa"/>
          </w:tcPr>
          <w:p w14:paraId="5D559FA3">
            <w:pPr>
              <w:spacing w:after="0" w:line="240" w:lineRule="auto"/>
              <w:rPr>
                <w:rFonts w:ascii="Times New Roman" w:hAnsi="Times New Roman" w:cs="Times New Roman"/>
                <w:sz w:val="28"/>
                <w:szCs w:val="28"/>
              </w:rPr>
            </w:pPr>
            <w:r>
              <w:rPr>
                <w:rFonts w:ascii="Times New Roman" w:hAnsi="Times New Roman" w:cs="Times New Roman"/>
                <w:sz w:val="28"/>
                <w:szCs w:val="28"/>
              </w:rPr>
              <w:t>2769,3</w:t>
            </w:r>
          </w:p>
        </w:tc>
        <w:tc>
          <w:tcPr>
            <w:tcW w:w="2979" w:type="dxa"/>
            <w:vMerge w:val="restart"/>
          </w:tcPr>
          <w:p w14:paraId="38DA1046">
            <w:pPr>
              <w:spacing w:after="0" w:line="240" w:lineRule="auto"/>
              <w:rPr>
                <w:rFonts w:ascii="Times New Roman" w:hAnsi="Times New Roman" w:cs="Times New Roman"/>
                <w:sz w:val="28"/>
                <w:szCs w:val="28"/>
              </w:rPr>
            </w:pPr>
            <w:r>
              <w:rPr>
                <w:rFonts w:ascii="Times New Roman" w:hAnsi="Times New Roman" w:cs="Times New Roman"/>
                <w:sz w:val="28"/>
                <w:szCs w:val="28"/>
              </w:rPr>
              <w:t>Електрокардіограма (50% від оглянутих осіб) = 34,0 грн *2214 ос. = 75,3 тис. грн</w:t>
            </w:r>
          </w:p>
        </w:tc>
      </w:tr>
      <w:tr w14:paraId="4531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150" w:type="dxa"/>
          </w:tcPr>
          <w:p w14:paraId="79B91CCA">
            <w:pPr>
              <w:spacing w:after="0" w:line="240" w:lineRule="auto"/>
              <w:rPr>
                <w:rFonts w:ascii="Times New Roman" w:hAnsi="Times New Roman" w:cs="Times New Roman"/>
                <w:sz w:val="28"/>
                <w:szCs w:val="28"/>
              </w:rPr>
            </w:pPr>
            <w:r>
              <w:rPr>
                <w:rFonts w:ascii="Times New Roman" w:hAnsi="Times New Roman" w:cs="Times New Roman"/>
                <w:sz w:val="28"/>
                <w:szCs w:val="28"/>
              </w:rPr>
              <w:t>Нарахування на зарплату</w:t>
            </w:r>
          </w:p>
        </w:tc>
        <w:tc>
          <w:tcPr>
            <w:tcW w:w="2042" w:type="dxa"/>
          </w:tcPr>
          <w:p w14:paraId="4D925EB4">
            <w:pPr>
              <w:spacing w:after="0" w:line="240" w:lineRule="auto"/>
              <w:rPr>
                <w:rFonts w:ascii="Times New Roman" w:hAnsi="Times New Roman" w:cs="Times New Roman"/>
                <w:sz w:val="28"/>
                <w:szCs w:val="28"/>
              </w:rPr>
            </w:pPr>
            <w:r>
              <w:rPr>
                <w:rFonts w:ascii="Times New Roman" w:hAnsi="Times New Roman" w:cs="Times New Roman"/>
                <w:sz w:val="28"/>
                <w:szCs w:val="28"/>
              </w:rPr>
              <w:t>20,3</w:t>
            </w:r>
          </w:p>
        </w:tc>
        <w:tc>
          <w:tcPr>
            <w:tcW w:w="1586" w:type="dxa"/>
          </w:tcPr>
          <w:p w14:paraId="0347F9D5">
            <w:pPr>
              <w:spacing w:after="0" w:line="240" w:lineRule="auto"/>
              <w:rPr>
                <w:rFonts w:ascii="Times New Roman" w:hAnsi="Times New Roman" w:cs="Times New Roman"/>
                <w:sz w:val="28"/>
                <w:szCs w:val="28"/>
              </w:rPr>
            </w:pPr>
            <w:r>
              <w:rPr>
                <w:rFonts w:ascii="Times New Roman" w:hAnsi="Times New Roman" w:cs="Times New Roman"/>
                <w:sz w:val="28"/>
                <w:szCs w:val="28"/>
              </w:rPr>
              <w:t>18,8</w:t>
            </w:r>
          </w:p>
        </w:tc>
        <w:tc>
          <w:tcPr>
            <w:tcW w:w="1445" w:type="dxa"/>
          </w:tcPr>
          <w:p w14:paraId="7B481D11">
            <w:pPr>
              <w:spacing w:after="0" w:line="240" w:lineRule="auto"/>
              <w:rPr>
                <w:rFonts w:ascii="Times New Roman" w:hAnsi="Times New Roman" w:cs="Times New Roman"/>
                <w:sz w:val="28"/>
                <w:szCs w:val="28"/>
              </w:rPr>
            </w:pPr>
            <w:r>
              <w:rPr>
                <w:rFonts w:ascii="Times New Roman" w:hAnsi="Times New Roman" w:cs="Times New Roman"/>
                <w:sz w:val="28"/>
                <w:szCs w:val="28"/>
              </w:rPr>
              <w:t>39,1</w:t>
            </w:r>
          </w:p>
        </w:tc>
        <w:tc>
          <w:tcPr>
            <w:tcW w:w="1317" w:type="dxa"/>
          </w:tcPr>
          <w:p w14:paraId="18901A54">
            <w:pPr>
              <w:spacing w:after="0" w:line="240" w:lineRule="auto"/>
              <w:rPr>
                <w:rFonts w:ascii="Times New Roman" w:hAnsi="Times New Roman" w:cs="Times New Roman"/>
                <w:sz w:val="28"/>
                <w:szCs w:val="28"/>
              </w:rPr>
            </w:pPr>
            <w:r>
              <w:rPr>
                <w:rFonts w:ascii="Times New Roman" w:hAnsi="Times New Roman" w:cs="Times New Roman"/>
                <w:sz w:val="28"/>
                <w:szCs w:val="28"/>
              </w:rPr>
              <w:t>469,4</w:t>
            </w:r>
          </w:p>
        </w:tc>
        <w:tc>
          <w:tcPr>
            <w:tcW w:w="1983" w:type="dxa"/>
          </w:tcPr>
          <w:p w14:paraId="6B4ECA60">
            <w:pPr>
              <w:spacing w:after="0" w:line="240" w:lineRule="auto"/>
              <w:rPr>
                <w:rFonts w:ascii="Times New Roman" w:hAnsi="Times New Roman" w:cs="Times New Roman"/>
                <w:sz w:val="28"/>
                <w:szCs w:val="28"/>
              </w:rPr>
            </w:pPr>
            <w:r>
              <w:rPr>
                <w:rFonts w:ascii="Times New Roman" w:hAnsi="Times New Roman" w:cs="Times New Roman"/>
                <w:sz w:val="28"/>
                <w:szCs w:val="28"/>
              </w:rPr>
              <w:t>139,9</w:t>
            </w:r>
          </w:p>
        </w:tc>
        <w:tc>
          <w:tcPr>
            <w:tcW w:w="1632" w:type="dxa"/>
          </w:tcPr>
          <w:p w14:paraId="48B6B81D">
            <w:pPr>
              <w:spacing w:after="0" w:line="240" w:lineRule="auto"/>
              <w:rPr>
                <w:rFonts w:ascii="Times New Roman" w:hAnsi="Times New Roman" w:cs="Times New Roman"/>
                <w:sz w:val="28"/>
                <w:szCs w:val="28"/>
              </w:rPr>
            </w:pPr>
            <w:r>
              <w:rPr>
                <w:rFonts w:ascii="Times New Roman" w:hAnsi="Times New Roman" w:cs="Times New Roman"/>
                <w:sz w:val="28"/>
                <w:szCs w:val="28"/>
              </w:rPr>
              <w:t>609,3</w:t>
            </w:r>
          </w:p>
        </w:tc>
        <w:tc>
          <w:tcPr>
            <w:tcW w:w="2979" w:type="dxa"/>
            <w:vMerge w:val="continue"/>
          </w:tcPr>
          <w:p w14:paraId="24C21876">
            <w:pPr>
              <w:spacing w:after="0" w:line="240" w:lineRule="auto"/>
              <w:rPr>
                <w:rFonts w:ascii="Times New Roman" w:hAnsi="Times New Roman" w:cs="Times New Roman"/>
                <w:sz w:val="28"/>
                <w:szCs w:val="28"/>
              </w:rPr>
            </w:pPr>
          </w:p>
        </w:tc>
      </w:tr>
      <w:tr w14:paraId="3614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0D2D55B2">
            <w:pPr>
              <w:spacing w:after="0" w:line="240" w:lineRule="auto"/>
              <w:rPr>
                <w:rFonts w:ascii="Times New Roman" w:hAnsi="Times New Roman" w:cs="Times New Roman"/>
                <w:b/>
                <w:sz w:val="28"/>
                <w:szCs w:val="28"/>
              </w:rPr>
            </w:pPr>
            <w:r>
              <w:rPr>
                <w:rFonts w:ascii="Times New Roman" w:hAnsi="Times New Roman" w:cs="Times New Roman"/>
                <w:b/>
                <w:sz w:val="28"/>
                <w:szCs w:val="28"/>
              </w:rPr>
              <w:t>ВСЬОГО</w:t>
            </w:r>
          </w:p>
        </w:tc>
        <w:tc>
          <w:tcPr>
            <w:tcW w:w="2042" w:type="dxa"/>
          </w:tcPr>
          <w:p w14:paraId="1F3D5599">
            <w:pPr>
              <w:spacing w:after="0" w:line="240" w:lineRule="auto"/>
              <w:rPr>
                <w:rFonts w:ascii="Times New Roman" w:hAnsi="Times New Roman" w:cs="Times New Roman"/>
                <w:b/>
                <w:sz w:val="28"/>
                <w:szCs w:val="28"/>
              </w:rPr>
            </w:pPr>
            <w:r>
              <w:rPr>
                <w:rFonts w:ascii="Times New Roman" w:hAnsi="Times New Roman" w:cs="Times New Roman"/>
                <w:b/>
                <w:sz w:val="28"/>
                <w:szCs w:val="28"/>
              </w:rPr>
              <w:t>112,6</w:t>
            </w:r>
          </w:p>
        </w:tc>
        <w:tc>
          <w:tcPr>
            <w:tcW w:w="1586" w:type="dxa"/>
          </w:tcPr>
          <w:p w14:paraId="0F099073">
            <w:pPr>
              <w:spacing w:after="0" w:line="240" w:lineRule="auto"/>
              <w:rPr>
                <w:rFonts w:ascii="Times New Roman" w:hAnsi="Times New Roman" w:cs="Times New Roman"/>
                <w:b/>
                <w:sz w:val="28"/>
                <w:szCs w:val="28"/>
              </w:rPr>
            </w:pPr>
            <w:r>
              <w:rPr>
                <w:rFonts w:ascii="Times New Roman" w:hAnsi="Times New Roman" w:cs="Times New Roman"/>
                <w:b/>
                <w:sz w:val="28"/>
                <w:szCs w:val="28"/>
              </w:rPr>
              <w:t>104,3</w:t>
            </w:r>
          </w:p>
        </w:tc>
        <w:tc>
          <w:tcPr>
            <w:tcW w:w="1445" w:type="dxa"/>
          </w:tcPr>
          <w:p w14:paraId="7CF73249">
            <w:pPr>
              <w:spacing w:after="0" w:line="240" w:lineRule="auto"/>
              <w:rPr>
                <w:rFonts w:ascii="Times New Roman" w:hAnsi="Times New Roman" w:cs="Times New Roman"/>
                <w:b/>
                <w:sz w:val="28"/>
                <w:szCs w:val="28"/>
              </w:rPr>
            </w:pPr>
            <w:r>
              <w:rPr>
                <w:rFonts w:ascii="Times New Roman" w:hAnsi="Times New Roman" w:cs="Times New Roman"/>
                <w:b/>
                <w:sz w:val="28"/>
                <w:szCs w:val="28"/>
              </w:rPr>
              <w:t>216,9</w:t>
            </w:r>
          </w:p>
        </w:tc>
        <w:tc>
          <w:tcPr>
            <w:tcW w:w="1317" w:type="dxa"/>
          </w:tcPr>
          <w:p w14:paraId="325128A9">
            <w:pPr>
              <w:spacing w:after="0" w:line="240" w:lineRule="auto"/>
              <w:rPr>
                <w:rFonts w:ascii="Times New Roman" w:hAnsi="Times New Roman" w:cs="Times New Roman"/>
                <w:b/>
                <w:sz w:val="28"/>
                <w:szCs w:val="28"/>
              </w:rPr>
            </w:pPr>
            <w:r>
              <w:rPr>
                <w:rFonts w:ascii="Times New Roman" w:hAnsi="Times New Roman" w:cs="Times New Roman"/>
                <w:b/>
                <w:sz w:val="28"/>
                <w:szCs w:val="28"/>
              </w:rPr>
              <w:t>2603,0</w:t>
            </w:r>
          </w:p>
        </w:tc>
        <w:tc>
          <w:tcPr>
            <w:tcW w:w="1983" w:type="dxa"/>
          </w:tcPr>
          <w:p w14:paraId="6E91A4E6">
            <w:pPr>
              <w:spacing w:after="0" w:line="240" w:lineRule="auto"/>
              <w:rPr>
                <w:rFonts w:ascii="Times New Roman" w:hAnsi="Times New Roman" w:cs="Times New Roman"/>
                <w:b/>
                <w:sz w:val="28"/>
                <w:szCs w:val="28"/>
              </w:rPr>
            </w:pPr>
            <w:r>
              <w:rPr>
                <w:rFonts w:ascii="Times New Roman" w:hAnsi="Times New Roman" w:cs="Times New Roman"/>
                <w:b/>
                <w:sz w:val="28"/>
                <w:szCs w:val="28"/>
              </w:rPr>
              <w:t>775,6</w:t>
            </w:r>
          </w:p>
        </w:tc>
        <w:tc>
          <w:tcPr>
            <w:tcW w:w="1632" w:type="dxa"/>
          </w:tcPr>
          <w:p w14:paraId="646FECA9">
            <w:pPr>
              <w:spacing w:after="0" w:line="240" w:lineRule="auto"/>
              <w:rPr>
                <w:rFonts w:ascii="Times New Roman" w:hAnsi="Times New Roman" w:cs="Times New Roman"/>
                <w:b/>
                <w:sz w:val="28"/>
                <w:szCs w:val="28"/>
              </w:rPr>
            </w:pPr>
            <w:r>
              <w:rPr>
                <w:rFonts w:ascii="Times New Roman" w:hAnsi="Times New Roman" w:cs="Times New Roman"/>
                <w:b/>
                <w:sz w:val="28"/>
                <w:szCs w:val="28"/>
              </w:rPr>
              <w:t>3378,6</w:t>
            </w:r>
          </w:p>
        </w:tc>
        <w:tc>
          <w:tcPr>
            <w:tcW w:w="2979" w:type="dxa"/>
          </w:tcPr>
          <w:p w14:paraId="34D6F8D2">
            <w:pPr>
              <w:spacing w:after="0" w:line="240" w:lineRule="auto"/>
              <w:rPr>
                <w:rFonts w:ascii="Times New Roman" w:hAnsi="Times New Roman" w:cs="Times New Roman"/>
                <w:b/>
                <w:sz w:val="28"/>
                <w:szCs w:val="28"/>
              </w:rPr>
            </w:pPr>
            <w:r>
              <w:rPr>
                <w:rFonts w:ascii="Times New Roman" w:hAnsi="Times New Roman" w:cs="Times New Roman"/>
                <w:b/>
                <w:sz w:val="28"/>
                <w:szCs w:val="28"/>
              </w:rPr>
              <w:t>531,3тис. грн</w:t>
            </w:r>
          </w:p>
        </w:tc>
      </w:tr>
    </w:tbl>
    <w:p w14:paraId="45BD023E">
      <w:pPr>
        <w:spacing w:line="240" w:lineRule="auto"/>
        <w:rPr>
          <w:rFonts w:ascii="Times New Roman" w:hAnsi="Times New Roman" w:cs="Times New Roman"/>
          <w:sz w:val="28"/>
          <w:szCs w:val="28"/>
        </w:rPr>
      </w:pPr>
      <w:r>
        <w:rPr>
          <w:rFonts w:ascii="Times New Roman" w:hAnsi="Times New Roman" w:cs="Times New Roman"/>
          <w:sz w:val="28"/>
          <w:szCs w:val="28"/>
        </w:rPr>
        <w:t>Складові витрати по пакету №60 на загальну суму 3909,9 тис грн.:</w:t>
      </w:r>
    </w:p>
    <w:p w14:paraId="7F0BD3F2">
      <w:pPr>
        <w:pStyle w:val="1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Оплата праці працівників ВЛК на рік - 3378,6 тис грн.;</w:t>
      </w:r>
    </w:p>
    <w:p w14:paraId="03CED970">
      <w:pPr>
        <w:pStyle w:val="1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Проведення лабораторних, діагностичних досліджень - 531,3 тис грн.</w:t>
      </w:r>
    </w:p>
    <w:p w14:paraId="31784E2B">
      <w:pPr>
        <w:rPr>
          <w:rFonts w:ascii="Times New Roman" w:hAnsi="Times New Roman" w:cs="Times New Roman"/>
          <w:b/>
          <w:bCs/>
          <w:sz w:val="28"/>
          <w:szCs w:val="28"/>
        </w:rPr>
      </w:pPr>
    </w:p>
    <w:p w14:paraId="6F5B8F1A">
      <w:pPr>
        <w:rPr>
          <w:rFonts w:ascii="Times New Roman" w:hAnsi="Times New Roman" w:cs="Times New Roman"/>
          <w:b/>
          <w:bCs/>
          <w:sz w:val="28"/>
          <w:szCs w:val="28"/>
        </w:rPr>
      </w:pPr>
      <w:r>
        <w:rPr>
          <w:rFonts w:ascii="Times New Roman" w:hAnsi="Times New Roman" w:cs="Times New Roman"/>
          <w:b/>
          <w:bCs/>
          <w:sz w:val="28"/>
          <w:szCs w:val="28"/>
        </w:rPr>
        <w:t>Начальник відділу                                                               Володимир ЧУБА</w:t>
      </w:r>
    </w:p>
    <w:p w14:paraId="268DBD3A">
      <w:pPr>
        <w:jc w:val="right"/>
        <w:rPr>
          <w:rFonts w:ascii="Times New Roman" w:hAnsi="Times New Roman" w:cs="Times New Roman"/>
          <w:sz w:val="28"/>
          <w:szCs w:val="28"/>
        </w:rPr>
      </w:pPr>
    </w:p>
    <w:p w14:paraId="26A11963">
      <w:pPr>
        <w:jc w:val="right"/>
        <w:rPr>
          <w:rFonts w:ascii="Times New Roman" w:hAnsi="Times New Roman" w:cs="Times New Roman"/>
          <w:sz w:val="28"/>
          <w:szCs w:val="28"/>
        </w:rPr>
      </w:pPr>
      <w:r>
        <w:rPr>
          <w:rFonts w:ascii="Times New Roman" w:hAnsi="Times New Roman" w:cs="Times New Roman"/>
          <w:sz w:val="28"/>
          <w:szCs w:val="28"/>
        </w:rPr>
        <w:t>Додаток 2</w:t>
      </w:r>
    </w:p>
    <w:tbl>
      <w:tblPr>
        <w:tblStyle w:val="9"/>
        <w:tblpPr w:leftFromText="180" w:rightFromText="180" w:vertAnchor="text" w:horzAnchor="margin" w:tblpY="5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3"/>
        <w:gridCol w:w="2525"/>
        <w:gridCol w:w="2196"/>
        <w:gridCol w:w="3028"/>
        <w:gridCol w:w="3784"/>
      </w:tblGrid>
      <w:tr w14:paraId="7831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5"/>
          </w:tcPr>
          <w:p w14:paraId="0D57B1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Інформація про  витрати на оплату праці відділення  військово-лікарської комісії  за січень 2025 року , тис грн</w:t>
            </w:r>
          </w:p>
        </w:tc>
      </w:tr>
      <w:tr w14:paraId="1221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3253" w:type="dxa"/>
          </w:tcPr>
          <w:p w14:paraId="2D655F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Зайнятість, відповідно до штатного розпису установи  (навантаження по 0,5ст. посади)</w:t>
            </w:r>
          </w:p>
        </w:tc>
        <w:tc>
          <w:tcPr>
            <w:tcW w:w="2525" w:type="dxa"/>
          </w:tcPr>
          <w:p w14:paraId="25089E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Заробітна плата за місяць згідно штатного розпису,</w:t>
            </w:r>
          </w:p>
          <w:p w14:paraId="56B35A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лікарі-20 тис. грн., середній медперсонал 13,5 тис грн</w:t>
            </w:r>
          </w:p>
        </w:tc>
        <w:tc>
          <w:tcPr>
            <w:tcW w:w="2196" w:type="dxa"/>
          </w:tcPr>
          <w:p w14:paraId="39A687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Заробітна плата за місяць згідно  додаткового фактичного навантаження</w:t>
            </w:r>
          </w:p>
        </w:tc>
        <w:tc>
          <w:tcPr>
            <w:tcW w:w="3028" w:type="dxa"/>
          </w:tcPr>
          <w:p w14:paraId="4499D8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Заробітна плата за місяць  стимулюючого характеру за  додаткового фактичного навантаження, незабезпечена коштами НСЗУ</w:t>
            </w:r>
          </w:p>
        </w:tc>
        <w:tc>
          <w:tcPr>
            <w:tcW w:w="3784" w:type="dxa"/>
          </w:tcPr>
          <w:p w14:paraId="5D05EC44">
            <w:pPr>
              <w:spacing w:after="0" w:line="240" w:lineRule="auto"/>
              <w:jc w:val="center"/>
              <w:rPr>
                <w:rFonts w:ascii="Times New Roman" w:hAnsi="Times New Roman" w:cs="Times New Roman"/>
                <w:sz w:val="28"/>
                <w:szCs w:val="28"/>
              </w:rPr>
            </w:pPr>
          </w:p>
          <w:p w14:paraId="4745CA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РАЗОМ фонд оплати праці на місяць</w:t>
            </w:r>
          </w:p>
          <w:p w14:paraId="5B882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лікарі-34 тис грн., середній медперсонал 22,0 тис грн</w:t>
            </w:r>
          </w:p>
        </w:tc>
      </w:tr>
      <w:tr w14:paraId="192D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tcPr>
          <w:p w14:paraId="28CE3048">
            <w:pPr>
              <w:spacing w:after="0" w:line="240" w:lineRule="auto"/>
              <w:rPr>
                <w:rFonts w:ascii="Times New Roman" w:hAnsi="Times New Roman" w:cs="Times New Roman"/>
                <w:sz w:val="28"/>
                <w:szCs w:val="28"/>
              </w:rPr>
            </w:pPr>
            <w:r>
              <w:rPr>
                <w:rFonts w:ascii="Times New Roman" w:hAnsi="Times New Roman" w:cs="Times New Roman"/>
                <w:sz w:val="28"/>
                <w:szCs w:val="28"/>
              </w:rPr>
              <w:t>4,5 ст. лікарських посад</w:t>
            </w:r>
            <w:r>
              <w:rPr>
                <w:rFonts w:ascii="Times New Roman" w:hAnsi="Times New Roman" w:cs="Times New Roman"/>
                <w:sz w:val="28"/>
                <w:szCs w:val="28"/>
                <w:lang w:val="ru-RU"/>
              </w:rPr>
              <w:t xml:space="preserve">/ 9 </w:t>
            </w:r>
            <w:r>
              <w:rPr>
                <w:rFonts w:ascii="Times New Roman" w:hAnsi="Times New Roman" w:cs="Times New Roman"/>
                <w:sz w:val="28"/>
                <w:szCs w:val="28"/>
              </w:rPr>
              <w:t xml:space="preserve"> фізичних </w:t>
            </w:r>
            <w:r>
              <w:rPr>
                <w:rFonts w:ascii="Times New Roman" w:hAnsi="Times New Roman" w:cs="Times New Roman"/>
                <w:sz w:val="28"/>
                <w:szCs w:val="28"/>
                <w:lang w:val="ru-RU"/>
              </w:rPr>
              <w:t>осіб</w:t>
            </w:r>
          </w:p>
        </w:tc>
        <w:tc>
          <w:tcPr>
            <w:tcW w:w="2525" w:type="dxa"/>
          </w:tcPr>
          <w:p w14:paraId="091EF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w:t>
            </w:r>
          </w:p>
        </w:tc>
        <w:tc>
          <w:tcPr>
            <w:tcW w:w="2196" w:type="dxa"/>
          </w:tcPr>
          <w:p w14:paraId="03CE43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197,8</w:t>
            </w:r>
          </w:p>
        </w:tc>
        <w:tc>
          <w:tcPr>
            <w:tcW w:w="3028" w:type="dxa"/>
          </w:tcPr>
          <w:p w14:paraId="1AF3A4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108,2</w:t>
            </w:r>
          </w:p>
        </w:tc>
        <w:tc>
          <w:tcPr>
            <w:tcW w:w="3784" w:type="dxa"/>
          </w:tcPr>
          <w:p w14:paraId="100B36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306,0</w:t>
            </w:r>
          </w:p>
        </w:tc>
      </w:tr>
      <w:tr w14:paraId="5B5C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tcPr>
          <w:p w14:paraId="0FF3EE99">
            <w:pPr>
              <w:spacing w:after="0" w:line="240" w:lineRule="auto"/>
              <w:rPr>
                <w:rFonts w:ascii="Times New Roman" w:hAnsi="Times New Roman" w:cs="Times New Roman"/>
                <w:sz w:val="28"/>
                <w:szCs w:val="28"/>
              </w:rPr>
            </w:pPr>
            <w:r>
              <w:rPr>
                <w:rFonts w:ascii="Times New Roman" w:hAnsi="Times New Roman" w:cs="Times New Roman"/>
                <w:sz w:val="28"/>
                <w:szCs w:val="28"/>
              </w:rPr>
              <w:t>6,5 ст. сестринських посад/10 фізичних  осіб</w:t>
            </w:r>
          </w:p>
        </w:tc>
        <w:tc>
          <w:tcPr>
            <w:tcW w:w="2525" w:type="dxa"/>
          </w:tcPr>
          <w:p w14:paraId="1C15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87,8</w:t>
            </w:r>
          </w:p>
        </w:tc>
        <w:tc>
          <w:tcPr>
            <w:tcW w:w="2196" w:type="dxa"/>
          </w:tcPr>
          <w:p w14:paraId="739AA4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193,1</w:t>
            </w:r>
          </w:p>
        </w:tc>
        <w:tc>
          <w:tcPr>
            <w:tcW w:w="3028" w:type="dxa"/>
          </w:tcPr>
          <w:p w14:paraId="0E988A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26,9</w:t>
            </w:r>
          </w:p>
        </w:tc>
        <w:tc>
          <w:tcPr>
            <w:tcW w:w="3784" w:type="dxa"/>
          </w:tcPr>
          <w:p w14:paraId="0D1435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220,0</w:t>
            </w:r>
          </w:p>
        </w:tc>
      </w:tr>
      <w:tr w14:paraId="372E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253" w:type="dxa"/>
          </w:tcPr>
          <w:p w14:paraId="14FEE7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Разом </w:t>
            </w:r>
          </w:p>
        </w:tc>
        <w:tc>
          <w:tcPr>
            <w:tcW w:w="2525" w:type="dxa"/>
          </w:tcPr>
          <w:p w14:paraId="120E08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177,8</w:t>
            </w:r>
          </w:p>
        </w:tc>
        <w:tc>
          <w:tcPr>
            <w:tcW w:w="2196" w:type="dxa"/>
          </w:tcPr>
          <w:p w14:paraId="3F761A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390,9</w:t>
            </w:r>
          </w:p>
        </w:tc>
        <w:tc>
          <w:tcPr>
            <w:tcW w:w="3028" w:type="dxa"/>
          </w:tcPr>
          <w:p w14:paraId="30E7D2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135,1</w:t>
            </w:r>
          </w:p>
        </w:tc>
        <w:tc>
          <w:tcPr>
            <w:tcW w:w="3784" w:type="dxa"/>
          </w:tcPr>
          <w:p w14:paraId="4877CE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526,0</w:t>
            </w:r>
          </w:p>
        </w:tc>
      </w:tr>
      <w:tr w14:paraId="5E5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253" w:type="dxa"/>
          </w:tcPr>
          <w:p w14:paraId="18648827">
            <w:pPr>
              <w:spacing w:after="0" w:line="240" w:lineRule="auto"/>
              <w:rPr>
                <w:rFonts w:ascii="Times New Roman" w:hAnsi="Times New Roman" w:cs="Times New Roman"/>
                <w:sz w:val="28"/>
                <w:szCs w:val="28"/>
              </w:rPr>
            </w:pPr>
            <w:r>
              <w:rPr>
                <w:rFonts w:ascii="Times New Roman" w:hAnsi="Times New Roman" w:cs="Times New Roman"/>
                <w:sz w:val="28"/>
                <w:szCs w:val="28"/>
              </w:rPr>
              <w:t>Нарахування на зарплату</w:t>
            </w:r>
          </w:p>
        </w:tc>
        <w:tc>
          <w:tcPr>
            <w:tcW w:w="2525" w:type="dxa"/>
          </w:tcPr>
          <w:p w14:paraId="63C805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39,1</w:t>
            </w:r>
          </w:p>
        </w:tc>
        <w:tc>
          <w:tcPr>
            <w:tcW w:w="2196" w:type="dxa"/>
          </w:tcPr>
          <w:p w14:paraId="0B7E54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86,0</w:t>
            </w:r>
          </w:p>
        </w:tc>
        <w:tc>
          <w:tcPr>
            <w:tcW w:w="3028" w:type="dxa"/>
          </w:tcPr>
          <w:p w14:paraId="0871DE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29,7</w:t>
            </w:r>
          </w:p>
        </w:tc>
        <w:tc>
          <w:tcPr>
            <w:tcW w:w="3784" w:type="dxa"/>
          </w:tcPr>
          <w:p w14:paraId="137A85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115,7</w:t>
            </w:r>
          </w:p>
        </w:tc>
      </w:tr>
      <w:tr w14:paraId="1D4C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tcPr>
          <w:p w14:paraId="096B1BC7">
            <w:pPr>
              <w:spacing w:after="0" w:line="240" w:lineRule="auto"/>
              <w:rPr>
                <w:rFonts w:ascii="Times New Roman" w:hAnsi="Times New Roman" w:cs="Times New Roman"/>
                <w:b/>
                <w:sz w:val="28"/>
                <w:szCs w:val="28"/>
              </w:rPr>
            </w:pPr>
            <w:r>
              <w:rPr>
                <w:rFonts w:ascii="Times New Roman" w:hAnsi="Times New Roman" w:cs="Times New Roman"/>
                <w:b/>
                <w:sz w:val="28"/>
                <w:szCs w:val="28"/>
              </w:rPr>
              <w:t>ВСЬОГО</w:t>
            </w:r>
          </w:p>
        </w:tc>
        <w:tc>
          <w:tcPr>
            <w:tcW w:w="2525" w:type="dxa"/>
          </w:tcPr>
          <w:p w14:paraId="6D1547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216,9</w:t>
            </w:r>
          </w:p>
        </w:tc>
        <w:tc>
          <w:tcPr>
            <w:tcW w:w="2196" w:type="dxa"/>
          </w:tcPr>
          <w:p w14:paraId="646AD1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476,9</w:t>
            </w:r>
          </w:p>
        </w:tc>
        <w:tc>
          <w:tcPr>
            <w:tcW w:w="3028" w:type="dxa"/>
          </w:tcPr>
          <w:p w14:paraId="710229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164,8</w:t>
            </w:r>
          </w:p>
        </w:tc>
        <w:tc>
          <w:tcPr>
            <w:tcW w:w="3784" w:type="dxa"/>
          </w:tcPr>
          <w:p w14:paraId="7B08D7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641,7</w:t>
            </w:r>
          </w:p>
        </w:tc>
      </w:tr>
    </w:tbl>
    <w:p w14:paraId="2CAC6EC7">
      <w:pPr>
        <w:rPr>
          <w:rFonts w:ascii="Times New Roman" w:hAnsi="Times New Roman" w:cs="Times New Roman"/>
          <w:sz w:val="28"/>
          <w:szCs w:val="28"/>
        </w:rPr>
      </w:pPr>
    </w:p>
    <w:p w14:paraId="6E228F79">
      <w:pPr>
        <w:rPr>
          <w:rFonts w:ascii="Times New Roman" w:hAnsi="Times New Roman" w:cs="Times New Roman"/>
          <w:sz w:val="28"/>
          <w:szCs w:val="28"/>
        </w:rPr>
      </w:pPr>
      <w:r>
        <w:rPr>
          <w:rFonts w:ascii="Times New Roman" w:hAnsi="Times New Roman" w:cs="Times New Roman"/>
          <w:sz w:val="28"/>
          <w:szCs w:val="28"/>
        </w:rPr>
        <w:t>Заробітна плата стимулюючого характеру за два місяці становить 329,6 грн.( 164,8*2 міс.)</w:t>
      </w:r>
    </w:p>
    <w:p w14:paraId="3EE7043A">
      <w:pPr>
        <w:rPr>
          <w:rFonts w:ascii="Times New Roman" w:hAnsi="Times New Roman" w:cs="Times New Roman"/>
          <w:sz w:val="28"/>
          <w:szCs w:val="28"/>
        </w:rPr>
      </w:pPr>
    </w:p>
    <w:p w14:paraId="3F99F4DF">
      <w:pPr>
        <w:rPr>
          <w:rFonts w:ascii="Times New Roman" w:hAnsi="Times New Roman" w:cs="Times New Roman"/>
          <w:b/>
          <w:bCs/>
          <w:sz w:val="28"/>
          <w:szCs w:val="28"/>
        </w:rPr>
      </w:pPr>
      <w:r>
        <w:rPr>
          <w:rFonts w:ascii="Times New Roman" w:hAnsi="Times New Roman" w:cs="Times New Roman"/>
          <w:b/>
          <w:bCs/>
          <w:sz w:val="28"/>
          <w:szCs w:val="28"/>
        </w:rPr>
        <w:t>Начальник відділу                                                               Володимир ЧУБА</w:t>
      </w:r>
    </w:p>
    <w:p w14:paraId="1053D3A6">
      <w:pPr>
        <w:rPr>
          <w:rFonts w:ascii="Times New Roman" w:hAnsi="Times New Roman" w:cs="Times New Roman"/>
          <w:b/>
          <w:bCs/>
          <w:sz w:val="28"/>
          <w:szCs w:val="28"/>
        </w:rPr>
      </w:pPr>
    </w:p>
    <w:p w14:paraId="7AEB4977">
      <w:pPr>
        <w:jc w:val="right"/>
        <w:rPr>
          <w:rFonts w:ascii="Times New Roman" w:hAnsi="Times New Roman" w:cs="Times New Roman"/>
          <w:sz w:val="28"/>
          <w:szCs w:val="28"/>
        </w:rPr>
      </w:pPr>
    </w:p>
    <w:p w14:paraId="2F6E42FB">
      <w:pPr>
        <w:jc w:val="right"/>
        <w:rPr>
          <w:rFonts w:ascii="Times New Roman" w:hAnsi="Times New Roman" w:cs="Times New Roman"/>
          <w:sz w:val="28"/>
          <w:szCs w:val="28"/>
        </w:rPr>
      </w:pPr>
      <w:r>
        <w:rPr>
          <w:rFonts w:ascii="Times New Roman" w:hAnsi="Times New Roman" w:cs="Times New Roman"/>
          <w:sz w:val="28"/>
          <w:szCs w:val="28"/>
        </w:rPr>
        <w:t>Додаток 3</w:t>
      </w:r>
    </w:p>
    <w:p w14:paraId="340C6EA0">
      <w:pPr>
        <w:spacing w:line="240" w:lineRule="auto"/>
        <w:jc w:val="center"/>
        <w:rPr>
          <w:rFonts w:ascii="Times New Roman" w:hAnsi="Times New Roman" w:eastAsia="Times New Roman" w:cs="Times New Roman"/>
          <w:sz w:val="28"/>
          <w:szCs w:val="28"/>
          <w:lang w:eastAsia="uk-UA"/>
        </w:rPr>
      </w:pPr>
      <w:r>
        <w:rPr>
          <w:rFonts w:ascii="Times New Roman" w:hAnsi="Times New Roman" w:cs="Times New Roman"/>
          <w:b/>
          <w:sz w:val="28"/>
          <w:szCs w:val="28"/>
          <w:lang w:eastAsia="uk-UA"/>
        </w:rPr>
        <w:t>НАПРЯМИ ДІЯЛЬНОСТІ ТА  ЗАХОДИ ПРОГРАМИ</w:t>
      </w:r>
    </w:p>
    <w:p w14:paraId="5BFCC8FD">
      <w:pPr>
        <w:pStyle w:val="1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фінансування військово-лікарської комісії на 2025 р.</w:t>
      </w:r>
    </w:p>
    <w:tbl>
      <w:tblPr>
        <w:tblStyle w:val="3"/>
        <w:tblpPr w:leftFromText="180" w:rightFromText="180" w:vertAnchor="text" w:tblpY="66"/>
        <w:tblW w:w="15144" w:type="dxa"/>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2268"/>
        <w:gridCol w:w="1985"/>
        <w:gridCol w:w="1134"/>
        <w:gridCol w:w="1701"/>
        <w:gridCol w:w="3260"/>
        <w:gridCol w:w="1701"/>
        <w:gridCol w:w="2268"/>
      </w:tblGrid>
      <w:tr w14:paraId="4CB3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6" w:hRule="atLeast"/>
          <w:tblCellSpacing w:w="0" w:type="dxa"/>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7C16">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w:t>
            </w:r>
          </w:p>
          <w:p w14:paraId="19201A3B">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 xml:space="preserve">№ </w:t>
            </w:r>
          </w:p>
          <w:p w14:paraId="7F9B12C9">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з/п</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CA28D">
            <w:pPr>
              <w:spacing w:line="240" w:lineRule="auto"/>
              <w:jc w:val="center"/>
              <w:rPr>
                <w:rFonts w:ascii="Times New Roman" w:hAnsi="Times New Roman" w:eastAsia="Times New Roman" w:cs="Times New Roman"/>
                <w:sz w:val="24"/>
                <w:szCs w:val="24"/>
                <w:lang w:eastAsia="uk-UA"/>
              </w:rPr>
            </w:pPr>
          </w:p>
          <w:p w14:paraId="7A64ED09">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Назва напряму діяльності (пріоритетні завдання)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6F2E">
            <w:pPr>
              <w:spacing w:line="240" w:lineRule="auto"/>
              <w:jc w:val="center"/>
              <w:rPr>
                <w:rFonts w:ascii="Times New Roman" w:hAnsi="Times New Roman" w:eastAsia="Times New Roman" w:cs="Times New Roman"/>
                <w:sz w:val="24"/>
                <w:szCs w:val="24"/>
                <w:lang w:eastAsia="uk-UA"/>
              </w:rPr>
            </w:pPr>
          </w:p>
          <w:p w14:paraId="7F43E364">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Перелік заходів Програми</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6F8F">
            <w:pPr>
              <w:spacing w:line="240" w:lineRule="auto"/>
              <w:jc w:val="center"/>
              <w:rPr>
                <w:rFonts w:ascii="Times New Roman" w:hAnsi="Times New Roman" w:eastAsia="Times New Roman" w:cs="Times New Roman"/>
                <w:sz w:val="24"/>
                <w:szCs w:val="24"/>
                <w:lang w:eastAsia="uk-UA"/>
              </w:rPr>
            </w:pPr>
          </w:p>
          <w:p w14:paraId="02FFA116">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Строк виконання заходу</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7E31">
            <w:pPr>
              <w:spacing w:line="240" w:lineRule="auto"/>
              <w:jc w:val="center"/>
              <w:rPr>
                <w:rFonts w:ascii="Times New Roman" w:hAnsi="Times New Roman" w:eastAsia="Times New Roman" w:cs="Times New Roman"/>
                <w:sz w:val="24"/>
                <w:szCs w:val="24"/>
                <w:lang w:eastAsia="uk-UA"/>
              </w:rPr>
            </w:pPr>
          </w:p>
          <w:p w14:paraId="039CF64C">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Виконавці</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17995">
            <w:pPr>
              <w:spacing w:line="240" w:lineRule="auto"/>
              <w:jc w:val="center"/>
              <w:rPr>
                <w:rFonts w:ascii="Times New Roman" w:hAnsi="Times New Roman" w:eastAsia="Times New Roman" w:cs="Times New Roman"/>
                <w:sz w:val="24"/>
                <w:szCs w:val="24"/>
                <w:lang w:eastAsia="uk-UA"/>
              </w:rPr>
            </w:pPr>
          </w:p>
          <w:p w14:paraId="48C216E7">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Джерела фінансування</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8A96">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 xml:space="preserve">Орієнтовні обсяги фінансування (вартість), </w:t>
            </w:r>
            <w:r>
              <w:rPr>
                <w:rFonts w:ascii="Times New Roman CYR" w:hAnsi="Times New Roman CYR" w:cs="Times New Roman CYR"/>
                <w:sz w:val="28"/>
                <w:szCs w:val="28"/>
              </w:rPr>
              <w:t xml:space="preserve"> тис. грн.</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8132">
            <w:pPr>
              <w:spacing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sz w:val="28"/>
                <w:szCs w:val="28"/>
                <w:lang w:eastAsia="uk-UA"/>
              </w:rPr>
              <w:t>Очікуваний результат</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bCs/>
                <w:sz w:val="28"/>
                <w:szCs w:val="28"/>
                <w:lang w:eastAsia="uk-UA"/>
              </w:rPr>
              <w:t>(у натуральних вимірниках)</w:t>
            </w:r>
          </w:p>
        </w:tc>
      </w:tr>
      <w:tr w14:paraId="5484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7" w:hRule="atLeast"/>
          <w:tblCellSpacing w:w="0" w:type="dxa"/>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30C3">
            <w:pPr>
              <w:spacing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w:t>
            </w:r>
          </w:p>
          <w:p w14:paraId="7F0460A8">
            <w:pPr>
              <w:spacing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1998">
            <w:pPr>
              <w:spacing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bCs/>
                <w:sz w:val="28"/>
                <w:szCs w:val="28"/>
                <w:lang w:eastAsia="uk-UA"/>
              </w:rPr>
              <w:t>Програма фінансування військово-лікарської комісії</w:t>
            </w:r>
            <w:r>
              <w:rPr>
                <w:rFonts w:ascii="Arial" w:hAnsi="Arial" w:eastAsia="Times New Roman" w:cs="Arial"/>
                <w:sz w:val="28"/>
                <w:szCs w:val="28"/>
                <w:lang w:eastAsia="uk-UA"/>
              </w:rPr>
              <w:t xml:space="preserve"> </w:t>
            </w:r>
            <w:r>
              <w:rPr>
                <w:rFonts w:ascii="Times New Roman" w:hAnsi="Times New Roman" w:eastAsia="Times New Roman" w:cs="Times New Roman"/>
                <w:bCs/>
                <w:sz w:val="28"/>
                <w:szCs w:val="28"/>
                <w:lang w:eastAsia="uk-UA"/>
              </w:rPr>
              <w:t>на 202</w:t>
            </w:r>
            <w:r>
              <w:rPr>
                <w:rFonts w:ascii="Times New Roman" w:hAnsi="Times New Roman" w:eastAsia="Times New Roman" w:cs="Times New Roman"/>
                <w:bCs/>
                <w:sz w:val="28"/>
                <w:szCs w:val="28"/>
                <w:lang w:val="ru-RU" w:eastAsia="uk-UA"/>
              </w:rPr>
              <w:t>5</w:t>
            </w:r>
            <w:r>
              <w:rPr>
                <w:rFonts w:ascii="Times New Roman" w:hAnsi="Times New Roman" w:eastAsia="Times New Roman" w:cs="Times New Roman"/>
                <w:bCs/>
                <w:sz w:val="28"/>
                <w:szCs w:val="28"/>
                <w:lang w:eastAsia="uk-UA"/>
              </w:rPr>
              <w:t>р.</w:t>
            </w:r>
          </w:p>
          <w:p w14:paraId="39CBD321">
            <w:pPr>
              <w:spacing w:line="240" w:lineRule="auto"/>
              <w:jc w:val="center"/>
              <w:rPr>
                <w:rFonts w:ascii="Times New Roman" w:hAnsi="Times New Roman" w:eastAsia="Times New Roman" w:cs="Times New Roman"/>
                <w:sz w:val="28"/>
                <w:szCs w:val="28"/>
                <w:lang w:eastAsia="uk-U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F7CF1">
            <w:pPr>
              <w:spacing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Здійснення медичного огляду призовників, мобілізованих та інших.</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0F3A">
            <w:pPr>
              <w:spacing w:line="240" w:lineRule="auto"/>
              <w:jc w:val="center"/>
              <w:rPr>
                <w:rFonts w:ascii="Times New Roman" w:hAnsi="Times New Roman" w:eastAsia="Times New Roman" w:cs="Times New Roman"/>
                <w:sz w:val="28"/>
                <w:szCs w:val="28"/>
                <w:lang w:eastAsia="uk-UA"/>
              </w:rPr>
            </w:pPr>
          </w:p>
          <w:p w14:paraId="5F6A1091">
            <w:pPr>
              <w:spacing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2025 рік</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651E">
            <w:pPr>
              <w:spacing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Відділ охорони здоров’я, військово-лікарська комісія, комунальні заклади охорони здоров’я ДМР</w:t>
            </w:r>
          </w:p>
          <w:p w14:paraId="40D5EC97">
            <w:pPr>
              <w:spacing w:line="240" w:lineRule="auto"/>
              <w:jc w:val="center"/>
              <w:rPr>
                <w:rFonts w:ascii="Times New Roman" w:hAnsi="Times New Roman" w:eastAsia="Times New Roman" w:cs="Times New Roman"/>
                <w:sz w:val="28"/>
                <w:szCs w:val="28"/>
                <w:lang w:eastAsia="uk-UA"/>
              </w:rPr>
            </w:pP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3BA4">
            <w:pPr>
              <w:pStyle w:val="10"/>
              <w:jc w:val="center"/>
              <w:rPr>
                <w:rFonts w:ascii="Times New Roman" w:hAnsi="Times New Roman" w:cs="Times New Roman"/>
                <w:sz w:val="28"/>
                <w:szCs w:val="28"/>
                <w:lang w:eastAsia="uk-UA"/>
              </w:rPr>
            </w:pPr>
            <w:r>
              <w:rPr>
                <w:rFonts w:ascii="Times New Roman" w:hAnsi="Times New Roman" w:cs="Times New Roman"/>
                <w:sz w:val="28"/>
                <w:szCs w:val="28"/>
                <w:lang w:eastAsia="uk-UA"/>
              </w:rPr>
              <w:t>Бюджет</w:t>
            </w:r>
          </w:p>
          <w:p w14:paraId="2716EACE">
            <w:pPr>
              <w:pStyle w:val="10"/>
              <w:jc w:val="center"/>
              <w:rPr>
                <w:rFonts w:ascii="Times New Roman" w:hAnsi="Times New Roman" w:cs="Times New Roman"/>
                <w:sz w:val="28"/>
                <w:szCs w:val="28"/>
                <w:lang w:eastAsia="uk-UA"/>
              </w:rPr>
            </w:pPr>
            <w:r>
              <w:rPr>
                <w:rFonts w:ascii="Times New Roman" w:hAnsi="Times New Roman" w:cs="Times New Roman"/>
                <w:sz w:val="28"/>
                <w:szCs w:val="28"/>
                <w:lang w:eastAsia="uk-UA"/>
              </w:rPr>
              <w:t>Дрогобицької ТГ,</w:t>
            </w:r>
          </w:p>
          <w:p w14:paraId="353AADB7">
            <w:pPr>
              <w:pStyle w:val="10"/>
              <w:jc w:val="center"/>
              <w:rPr>
                <w:rFonts w:ascii="Times New Roman" w:hAnsi="Times New Roman" w:cs="Times New Roman"/>
                <w:sz w:val="28"/>
                <w:szCs w:val="28"/>
                <w:lang w:eastAsia="uk-UA"/>
              </w:rPr>
            </w:pPr>
            <w:r>
              <w:rPr>
                <w:rFonts w:ascii="Times New Roman" w:hAnsi="Times New Roman" w:cs="Times New Roman"/>
                <w:sz w:val="28"/>
                <w:szCs w:val="28"/>
                <w:lang w:eastAsia="uk-UA"/>
              </w:rPr>
              <w:t>Трускавецької ТГ,</w:t>
            </w:r>
          </w:p>
          <w:p w14:paraId="272706E5">
            <w:pPr>
              <w:pStyle w:val="10"/>
              <w:jc w:val="center"/>
              <w:rPr>
                <w:rFonts w:ascii="Times New Roman" w:hAnsi="Times New Roman" w:cs="Times New Roman"/>
                <w:sz w:val="28"/>
                <w:szCs w:val="28"/>
                <w:lang w:eastAsia="uk-UA"/>
              </w:rPr>
            </w:pPr>
            <w:r>
              <w:rPr>
                <w:rFonts w:ascii="Times New Roman" w:hAnsi="Times New Roman" w:cs="Times New Roman"/>
                <w:sz w:val="28"/>
                <w:szCs w:val="28"/>
                <w:lang w:eastAsia="uk-UA"/>
              </w:rPr>
              <w:t>Бориславської ТГ,</w:t>
            </w:r>
          </w:p>
          <w:p w14:paraId="1F4048A0">
            <w:pPr>
              <w:pStyle w:val="10"/>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Меденицької ТГ, </w:t>
            </w:r>
          </w:p>
          <w:p w14:paraId="002ED5E8">
            <w:pPr>
              <w:pStyle w:val="10"/>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Східницької ТГ </w:t>
            </w:r>
          </w:p>
          <w:p w14:paraId="1FD0C61A">
            <w:pPr>
              <w:pStyle w:val="10"/>
              <w:jc w:val="center"/>
              <w:rPr>
                <w:rFonts w:ascii="Times New Roman" w:hAnsi="Times New Roman" w:cs="Times New Roman"/>
                <w:sz w:val="28"/>
                <w:szCs w:val="28"/>
                <w:lang w:eastAsia="uk-UA"/>
              </w:rPr>
            </w:pPr>
          </w:p>
          <w:p w14:paraId="274C9C5B">
            <w:pPr>
              <w:pStyle w:val="10"/>
              <w:jc w:val="center"/>
              <w:rPr>
                <w:sz w:val="28"/>
                <w:szCs w:val="28"/>
                <w:lang w:eastAsia="uk-U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06CE">
            <w:pPr>
              <w:spacing w:line="240" w:lineRule="auto"/>
              <w:jc w:val="center"/>
              <w:rPr>
                <w:rFonts w:ascii="Times New Roman" w:hAnsi="Times New Roman" w:eastAsia="Times New Roman" w:cs="Times New Roman"/>
                <w:sz w:val="28"/>
                <w:szCs w:val="28"/>
                <w:lang w:eastAsia="uk-UA"/>
              </w:rPr>
            </w:pPr>
          </w:p>
          <w:p w14:paraId="2B6CEC12">
            <w:pPr>
              <w:spacing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sz w:val="28"/>
                <w:szCs w:val="28"/>
                <w:lang w:eastAsia="uk-UA"/>
              </w:rPr>
              <w:t>329,6</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94336">
            <w:pPr>
              <w:spacing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Забезпечення 100% медичного огляду призовників</w:t>
            </w:r>
          </w:p>
        </w:tc>
      </w:tr>
      <w:tr w14:paraId="369C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11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927393">
            <w:pPr>
              <w:pStyle w:val="10"/>
              <w:rPr>
                <w:sz w:val="28"/>
                <w:szCs w:val="28"/>
                <w:lang w:eastAsia="uk-UA"/>
              </w:rPr>
            </w:pPr>
            <w:r>
              <w:rPr>
                <w:rFonts w:ascii="Times New Roman" w:hAnsi="Times New Roman" w:eastAsia="Times New Roman" w:cs="Times New Roman"/>
                <w:b/>
                <w:bCs/>
                <w:sz w:val="28"/>
                <w:szCs w:val="28"/>
                <w:lang w:eastAsia="uk-UA"/>
              </w:rPr>
              <w:t>Усього за Програмою:</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8CF81">
            <w:pPr>
              <w:spacing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b/>
                <w:sz w:val="28"/>
                <w:szCs w:val="28"/>
                <w:lang w:eastAsia="uk-UA"/>
              </w:rPr>
              <w:t>329,6</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6081">
            <w:pPr>
              <w:spacing w:line="240" w:lineRule="auto"/>
              <w:jc w:val="center"/>
              <w:rPr>
                <w:rFonts w:ascii="Times New Roman" w:hAnsi="Times New Roman" w:eastAsia="Times New Roman" w:cs="Times New Roman"/>
                <w:sz w:val="28"/>
                <w:szCs w:val="28"/>
                <w:lang w:eastAsia="uk-UA"/>
              </w:rPr>
            </w:pPr>
          </w:p>
        </w:tc>
      </w:tr>
    </w:tbl>
    <w:p w14:paraId="1B3D88F4"/>
    <w:p w14:paraId="288552A0">
      <w:pPr>
        <w:pStyle w:val="10"/>
        <w:jc w:val="both"/>
        <w:rPr>
          <w:rFonts w:ascii="Times New Roman" w:hAnsi="Times New Roman" w:cs="Times New Roman"/>
          <w:b/>
          <w:bCs/>
          <w:sz w:val="28"/>
          <w:szCs w:val="28"/>
        </w:rPr>
      </w:pPr>
    </w:p>
    <w:p w14:paraId="22BBC0E0">
      <w:pPr>
        <w:pStyle w:val="10"/>
        <w:jc w:val="both"/>
        <w:rPr>
          <w:rFonts w:ascii="Times New Roman" w:hAnsi="Times New Roman" w:cs="Times New Roman"/>
          <w:b/>
          <w:bCs/>
          <w:sz w:val="28"/>
          <w:szCs w:val="28"/>
        </w:rPr>
      </w:pPr>
      <w:r>
        <w:rPr>
          <w:rFonts w:ascii="Times New Roman" w:hAnsi="Times New Roman" w:cs="Times New Roman"/>
          <w:b/>
          <w:bCs/>
          <w:sz w:val="28"/>
          <w:szCs w:val="28"/>
        </w:rPr>
        <w:t>Начальник відділу                                                                                           Володимир ЧУБА</w:t>
      </w:r>
    </w:p>
    <w:p w14:paraId="17E308C0"/>
    <w:p w14:paraId="7BD36A24">
      <w:pPr>
        <w:spacing w:line="240" w:lineRule="auto"/>
        <w:ind w:left="7380"/>
        <w:jc w:val="both"/>
        <w:rPr>
          <w:rFonts w:ascii="Times New Roman" w:hAnsi="Times New Roman" w:eastAsia="Times New Roman" w:cs="Times New Roman"/>
          <w:sz w:val="28"/>
          <w:szCs w:val="28"/>
          <w:lang w:eastAsia="uk-UA"/>
        </w:rPr>
      </w:pPr>
    </w:p>
    <w:p w14:paraId="789BD059">
      <w:pPr>
        <w:spacing w:line="240" w:lineRule="auto"/>
        <w:ind w:left="7380"/>
        <w:jc w:val="right"/>
        <w:rPr>
          <w:rFonts w:ascii="Times New Roman" w:hAnsi="Times New Roman" w:eastAsia="Times New Roman" w:cs="Times New Roman"/>
          <w:sz w:val="28"/>
          <w:szCs w:val="28"/>
          <w:lang w:eastAsia="uk-UA"/>
        </w:rPr>
      </w:pPr>
    </w:p>
    <w:p w14:paraId="0C94EE7B">
      <w:pPr>
        <w:spacing w:line="240" w:lineRule="auto"/>
        <w:ind w:left="7380"/>
        <w:jc w:val="right"/>
        <w:rPr>
          <w:rFonts w:ascii="Times New Roman" w:hAnsi="Times New Roman" w:eastAsia="Times New Roman" w:cs="Times New Roman"/>
          <w:sz w:val="28"/>
          <w:szCs w:val="28"/>
          <w:lang w:eastAsia="uk-UA"/>
        </w:rPr>
      </w:pPr>
    </w:p>
    <w:p w14:paraId="488D99CF">
      <w:pPr>
        <w:spacing w:line="240" w:lineRule="auto"/>
        <w:ind w:left="7380"/>
        <w:jc w:val="right"/>
        <w:rPr>
          <w:rFonts w:ascii="Times New Roman" w:hAnsi="Times New Roman" w:eastAsia="Times New Roman" w:cs="Times New Roman"/>
          <w:sz w:val="28"/>
          <w:szCs w:val="28"/>
          <w:lang w:eastAsia="uk-UA"/>
        </w:rPr>
      </w:pPr>
    </w:p>
    <w:p w14:paraId="7B526BB8">
      <w:pPr>
        <w:spacing w:line="240" w:lineRule="auto"/>
        <w:ind w:left="7380"/>
        <w:jc w:val="right"/>
        <w:rPr>
          <w:rFonts w:ascii="Times New Roman" w:hAnsi="Times New Roman" w:eastAsia="Times New Roman" w:cs="Times New Roman"/>
          <w:sz w:val="28"/>
          <w:szCs w:val="28"/>
          <w:lang w:eastAsia="uk-UA"/>
        </w:rPr>
      </w:pPr>
    </w:p>
    <w:p w14:paraId="23FB63A9">
      <w:pPr>
        <w:spacing w:line="240" w:lineRule="auto"/>
        <w:ind w:left="7380"/>
        <w:jc w:val="right"/>
        <w:rPr>
          <w:rFonts w:ascii="Times New Roman" w:hAnsi="Times New Roman" w:eastAsia="Times New Roman" w:cs="Times New Roman"/>
          <w:sz w:val="28"/>
          <w:szCs w:val="28"/>
          <w:lang w:eastAsia="uk-UA"/>
        </w:rPr>
      </w:pPr>
    </w:p>
    <w:p w14:paraId="7E2B20EF">
      <w:pPr>
        <w:spacing w:line="240" w:lineRule="auto"/>
        <w:ind w:left="7380"/>
        <w:jc w:val="right"/>
        <w:rPr>
          <w:rFonts w:ascii="Times New Roman" w:hAnsi="Times New Roman" w:eastAsia="Times New Roman" w:cs="Times New Roman"/>
          <w:sz w:val="28"/>
          <w:szCs w:val="28"/>
          <w:lang w:eastAsia="uk-UA"/>
        </w:rPr>
      </w:pPr>
    </w:p>
    <w:p w14:paraId="579B6928">
      <w:pPr>
        <w:spacing w:line="240" w:lineRule="auto"/>
        <w:ind w:left="7380"/>
        <w:jc w:val="right"/>
        <w:rPr>
          <w:rFonts w:ascii="Times New Roman" w:hAnsi="Times New Roman" w:eastAsia="Times New Roman" w:cs="Times New Roman"/>
          <w:sz w:val="28"/>
          <w:szCs w:val="28"/>
          <w:lang w:eastAsia="uk-UA"/>
        </w:rPr>
      </w:pPr>
    </w:p>
    <w:p w14:paraId="001E18F3">
      <w:pPr>
        <w:spacing w:line="240" w:lineRule="auto"/>
        <w:ind w:left="7380"/>
        <w:jc w:val="right"/>
        <w:rPr>
          <w:rFonts w:ascii="Times New Roman" w:hAnsi="Times New Roman" w:eastAsia="Times New Roman" w:cs="Times New Roman"/>
          <w:sz w:val="28"/>
          <w:szCs w:val="28"/>
          <w:lang w:eastAsia="uk-UA"/>
        </w:rPr>
      </w:pPr>
    </w:p>
    <w:p w14:paraId="1DAFC798">
      <w:pPr>
        <w:spacing w:line="240" w:lineRule="auto"/>
        <w:ind w:left="7380"/>
        <w:jc w:val="right"/>
        <w:rPr>
          <w:rFonts w:ascii="Times New Roman" w:hAnsi="Times New Roman" w:eastAsia="Times New Roman" w:cs="Times New Roman"/>
          <w:sz w:val="28"/>
          <w:szCs w:val="28"/>
          <w:lang w:eastAsia="uk-UA"/>
        </w:rPr>
      </w:pPr>
    </w:p>
    <w:p w14:paraId="7B88D73A">
      <w:pPr>
        <w:spacing w:line="240" w:lineRule="auto"/>
        <w:ind w:left="7380"/>
        <w:jc w:val="right"/>
        <w:rPr>
          <w:rFonts w:ascii="Times New Roman" w:hAnsi="Times New Roman" w:eastAsia="Times New Roman" w:cs="Times New Roman"/>
          <w:sz w:val="28"/>
          <w:szCs w:val="28"/>
          <w:lang w:eastAsia="uk-UA"/>
        </w:rPr>
      </w:pPr>
    </w:p>
    <w:p w14:paraId="4BB5BF76">
      <w:pPr>
        <w:spacing w:line="240" w:lineRule="auto"/>
        <w:ind w:left="7380"/>
        <w:jc w:val="right"/>
        <w:rPr>
          <w:rFonts w:ascii="Times New Roman" w:hAnsi="Times New Roman" w:eastAsia="Times New Roman" w:cs="Times New Roman"/>
          <w:sz w:val="28"/>
          <w:szCs w:val="28"/>
          <w:lang w:eastAsia="uk-UA"/>
        </w:rPr>
      </w:pPr>
    </w:p>
    <w:p w14:paraId="167EE138">
      <w:pPr>
        <w:spacing w:line="240" w:lineRule="auto"/>
        <w:ind w:left="7380"/>
        <w:jc w:val="right"/>
        <w:rPr>
          <w:rFonts w:ascii="Times New Roman" w:hAnsi="Times New Roman" w:eastAsia="Times New Roman" w:cs="Times New Roman"/>
          <w:sz w:val="28"/>
          <w:szCs w:val="28"/>
          <w:lang w:eastAsia="uk-UA"/>
        </w:rPr>
      </w:pPr>
    </w:p>
    <w:p w14:paraId="1C92E289">
      <w:pPr>
        <w:spacing w:line="240" w:lineRule="auto"/>
        <w:ind w:left="7380"/>
        <w:jc w:val="right"/>
        <w:rPr>
          <w:rFonts w:ascii="Times New Roman" w:hAnsi="Times New Roman" w:eastAsia="Times New Roman" w:cs="Times New Roman"/>
          <w:sz w:val="28"/>
          <w:szCs w:val="28"/>
          <w:lang w:eastAsia="uk-UA"/>
        </w:rPr>
      </w:pPr>
    </w:p>
    <w:p w14:paraId="4A09564B">
      <w:pPr>
        <w:spacing w:line="240" w:lineRule="auto"/>
        <w:ind w:left="7380"/>
        <w:jc w:val="right"/>
        <w:rPr>
          <w:rFonts w:ascii="Times New Roman" w:hAnsi="Times New Roman" w:eastAsia="Times New Roman" w:cs="Times New Roman"/>
          <w:sz w:val="28"/>
          <w:szCs w:val="28"/>
          <w:lang w:eastAsia="uk-UA"/>
        </w:rPr>
      </w:pPr>
    </w:p>
    <w:p w14:paraId="634061BF">
      <w:pPr>
        <w:spacing w:line="240" w:lineRule="auto"/>
        <w:ind w:left="7380"/>
        <w:jc w:val="right"/>
        <w:rPr>
          <w:rFonts w:ascii="Times New Roman" w:hAnsi="Times New Roman" w:eastAsia="Times New Roman" w:cs="Times New Roman"/>
          <w:sz w:val="28"/>
          <w:szCs w:val="28"/>
          <w:lang w:eastAsia="uk-UA"/>
        </w:rPr>
      </w:pPr>
    </w:p>
    <w:p w14:paraId="37F2C8CF">
      <w:pPr>
        <w:spacing w:line="240" w:lineRule="auto"/>
        <w:ind w:left="7380"/>
        <w:jc w:val="right"/>
        <w:rPr>
          <w:rFonts w:ascii="Times New Roman" w:hAnsi="Times New Roman" w:eastAsia="Times New Roman" w:cs="Times New Roman"/>
          <w:sz w:val="28"/>
          <w:szCs w:val="28"/>
          <w:lang w:eastAsia="uk-UA"/>
        </w:rPr>
      </w:pPr>
    </w:p>
    <w:p w14:paraId="780E80AB">
      <w:pPr>
        <w:spacing w:line="240" w:lineRule="auto"/>
        <w:ind w:left="7380"/>
        <w:jc w:val="right"/>
        <w:rPr>
          <w:rFonts w:ascii="Times New Roman" w:hAnsi="Times New Roman" w:eastAsia="Times New Roman" w:cs="Times New Roman"/>
          <w:sz w:val="28"/>
          <w:szCs w:val="28"/>
          <w:lang w:eastAsia="uk-UA"/>
        </w:rPr>
      </w:pPr>
    </w:p>
    <w:p w14:paraId="5F6B074C">
      <w:pPr>
        <w:spacing w:line="240" w:lineRule="auto"/>
        <w:ind w:left="7380"/>
        <w:jc w:val="right"/>
        <w:rPr>
          <w:rFonts w:ascii="Times New Roman" w:hAnsi="Times New Roman" w:eastAsia="Times New Roman" w:cs="Times New Roman"/>
          <w:sz w:val="28"/>
          <w:szCs w:val="28"/>
          <w:lang w:eastAsia="uk-UA"/>
        </w:rPr>
      </w:pPr>
    </w:p>
    <w:p w14:paraId="2803CD19">
      <w:pPr>
        <w:spacing w:line="240" w:lineRule="auto"/>
        <w:ind w:left="7380"/>
        <w:jc w:val="right"/>
        <w:rPr>
          <w:rFonts w:ascii="Times New Roman" w:hAnsi="Times New Roman" w:eastAsia="Times New Roman" w:cs="Times New Roman"/>
          <w:sz w:val="28"/>
          <w:szCs w:val="28"/>
          <w:lang w:eastAsia="uk-UA"/>
        </w:rPr>
      </w:pPr>
    </w:p>
    <w:p w14:paraId="34DFED6F">
      <w:pPr>
        <w:spacing w:line="240" w:lineRule="auto"/>
        <w:ind w:left="7380"/>
        <w:jc w:val="right"/>
        <w:rPr>
          <w:rFonts w:ascii="Times New Roman" w:hAnsi="Times New Roman" w:eastAsia="Times New Roman" w:cs="Times New Roman"/>
          <w:sz w:val="28"/>
          <w:szCs w:val="28"/>
          <w:lang w:eastAsia="uk-UA"/>
        </w:rPr>
      </w:pPr>
    </w:p>
    <w:p w14:paraId="0DA47B64">
      <w:pPr>
        <w:spacing w:line="240" w:lineRule="auto"/>
        <w:ind w:left="7380"/>
        <w:jc w:val="right"/>
        <w:rPr>
          <w:rFonts w:ascii="Times New Roman" w:hAnsi="Times New Roman" w:eastAsia="Times New Roman" w:cs="Times New Roman"/>
          <w:sz w:val="28"/>
          <w:szCs w:val="28"/>
          <w:lang w:eastAsia="uk-UA"/>
        </w:rPr>
      </w:pPr>
    </w:p>
    <w:p w14:paraId="7A1E6A6A">
      <w:pPr>
        <w:spacing w:line="240" w:lineRule="auto"/>
        <w:ind w:left="7380"/>
        <w:jc w:val="right"/>
        <w:rPr>
          <w:rFonts w:ascii="Times New Roman" w:hAnsi="Times New Roman" w:eastAsia="Times New Roman" w:cs="Times New Roman"/>
          <w:sz w:val="28"/>
          <w:szCs w:val="28"/>
          <w:lang w:eastAsia="uk-UA"/>
        </w:rPr>
      </w:pPr>
    </w:p>
    <w:p w14:paraId="7BE56275">
      <w:pPr>
        <w:spacing w:line="240" w:lineRule="auto"/>
        <w:ind w:left="7380"/>
        <w:jc w:val="right"/>
        <w:rPr>
          <w:rFonts w:ascii="Times New Roman" w:hAnsi="Times New Roman" w:eastAsia="Times New Roman" w:cs="Times New Roman"/>
          <w:sz w:val="28"/>
          <w:szCs w:val="28"/>
          <w:lang w:eastAsia="uk-UA"/>
        </w:rPr>
      </w:pPr>
    </w:p>
    <w:p w14:paraId="29FF2FBF">
      <w:pPr>
        <w:spacing w:line="240" w:lineRule="auto"/>
        <w:ind w:left="7380"/>
        <w:jc w:val="right"/>
        <w:rPr>
          <w:rFonts w:ascii="Times New Roman" w:hAnsi="Times New Roman" w:eastAsia="Times New Roman" w:cs="Times New Roman"/>
          <w:sz w:val="28"/>
          <w:szCs w:val="28"/>
          <w:lang w:eastAsia="uk-UA"/>
        </w:rPr>
      </w:pPr>
    </w:p>
    <w:p w14:paraId="3DD77500">
      <w:pPr>
        <w:spacing w:line="240" w:lineRule="auto"/>
        <w:ind w:left="7380"/>
        <w:jc w:val="right"/>
        <w:rPr>
          <w:rFonts w:ascii="Times New Roman" w:hAnsi="Times New Roman" w:eastAsia="Times New Roman" w:cs="Times New Roman"/>
          <w:sz w:val="28"/>
          <w:szCs w:val="28"/>
          <w:lang w:eastAsia="uk-UA"/>
        </w:rPr>
      </w:pPr>
    </w:p>
    <w:p w14:paraId="0DB046D6">
      <w:pPr>
        <w:spacing w:line="240" w:lineRule="auto"/>
        <w:ind w:left="7380"/>
        <w:jc w:val="right"/>
        <w:rPr>
          <w:rFonts w:ascii="Times New Roman" w:hAnsi="Times New Roman" w:eastAsia="Times New Roman" w:cs="Times New Roman"/>
          <w:sz w:val="28"/>
          <w:szCs w:val="28"/>
          <w:lang w:eastAsia="uk-UA"/>
        </w:rPr>
      </w:pPr>
    </w:p>
    <w:tbl>
      <w:tblPr>
        <w:tblStyle w:val="3"/>
        <w:tblW w:w="14459" w:type="dxa"/>
        <w:tblCellSpacing w:w="0" w:type="dxa"/>
        <w:tblInd w:w="250" w:type="dxa"/>
        <w:tblLayout w:type="fixed"/>
        <w:tblCellMar>
          <w:top w:w="0" w:type="dxa"/>
          <w:left w:w="0" w:type="dxa"/>
          <w:bottom w:w="0" w:type="dxa"/>
          <w:right w:w="0" w:type="dxa"/>
        </w:tblCellMar>
      </w:tblPr>
      <w:tblGrid>
        <w:gridCol w:w="14459"/>
      </w:tblGrid>
      <w:tr w14:paraId="3E5529E0">
        <w:tblPrEx>
          <w:tblCellMar>
            <w:top w:w="0" w:type="dxa"/>
            <w:left w:w="0" w:type="dxa"/>
            <w:bottom w:w="0" w:type="dxa"/>
            <w:right w:w="0" w:type="dxa"/>
          </w:tblCellMar>
        </w:tblPrEx>
        <w:trPr>
          <w:trHeight w:val="284" w:hRule="atLeast"/>
          <w:tblCellSpacing w:w="0" w:type="dxa"/>
        </w:trPr>
        <w:tc>
          <w:tcPr>
            <w:tcW w:w="14459" w:type="dxa"/>
            <w:shd w:val="clear" w:color="auto" w:fill="FFFFFF"/>
            <w:tcMar>
              <w:top w:w="0" w:type="dxa"/>
              <w:left w:w="108" w:type="dxa"/>
              <w:bottom w:w="0" w:type="dxa"/>
              <w:right w:w="108" w:type="dxa"/>
            </w:tcMar>
            <w:vAlign w:val="bottom"/>
          </w:tcPr>
          <w:p w14:paraId="3E9A3E4F">
            <w:pPr>
              <w:rPr>
                <w:rFonts w:ascii="Times New Roman" w:hAnsi="Times New Roman" w:cs="Times New Roman"/>
                <w:b/>
                <w:sz w:val="28"/>
                <w:szCs w:val="28"/>
              </w:rPr>
            </w:pPr>
          </w:p>
        </w:tc>
      </w:tr>
      <w:tr w14:paraId="467A59B4">
        <w:tblPrEx>
          <w:tblCellMar>
            <w:top w:w="0" w:type="dxa"/>
            <w:left w:w="0" w:type="dxa"/>
            <w:bottom w:w="0" w:type="dxa"/>
            <w:right w:w="0" w:type="dxa"/>
          </w:tblCellMar>
        </w:tblPrEx>
        <w:trPr>
          <w:trHeight w:val="284" w:hRule="atLeast"/>
          <w:tblCellSpacing w:w="0" w:type="dxa"/>
        </w:trPr>
        <w:tc>
          <w:tcPr>
            <w:tcW w:w="14459" w:type="dxa"/>
            <w:shd w:val="clear" w:color="auto" w:fill="FFFFFF"/>
            <w:tcMar>
              <w:top w:w="0" w:type="dxa"/>
              <w:left w:w="108" w:type="dxa"/>
              <w:bottom w:w="0" w:type="dxa"/>
              <w:right w:w="108" w:type="dxa"/>
            </w:tcMar>
            <w:vAlign w:val="bottom"/>
          </w:tcPr>
          <w:p w14:paraId="643453A9">
            <w:pPr>
              <w:pStyle w:val="10"/>
              <w:jc w:val="both"/>
              <w:rPr>
                <w:rFonts w:ascii="Times New Roman" w:hAnsi="Times New Roman" w:cs="Times New Roman"/>
                <w:b/>
                <w:sz w:val="28"/>
                <w:szCs w:val="28"/>
              </w:rPr>
            </w:pPr>
          </w:p>
        </w:tc>
      </w:tr>
      <w:tr w14:paraId="72E92E00">
        <w:tblPrEx>
          <w:tblCellMar>
            <w:top w:w="0" w:type="dxa"/>
            <w:left w:w="0" w:type="dxa"/>
            <w:bottom w:w="0" w:type="dxa"/>
            <w:right w:w="0" w:type="dxa"/>
          </w:tblCellMar>
        </w:tblPrEx>
        <w:trPr>
          <w:trHeight w:val="284" w:hRule="atLeast"/>
          <w:tblCellSpacing w:w="0" w:type="dxa"/>
        </w:trPr>
        <w:tc>
          <w:tcPr>
            <w:tcW w:w="14459" w:type="dxa"/>
            <w:shd w:val="clear" w:color="auto" w:fill="FFFFFF"/>
            <w:tcMar>
              <w:top w:w="0" w:type="dxa"/>
              <w:left w:w="108" w:type="dxa"/>
              <w:bottom w:w="0" w:type="dxa"/>
              <w:right w:w="108" w:type="dxa"/>
            </w:tcMar>
            <w:vAlign w:val="bottom"/>
          </w:tcPr>
          <w:p w14:paraId="5ED02A07">
            <w:pPr>
              <w:pStyle w:val="10"/>
              <w:jc w:val="both"/>
              <w:rPr>
                <w:rFonts w:ascii="Times New Roman" w:hAnsi="Times New Roman" w:cs="Times New Roman"/>
                <w:b/>
                <w:sz w:val="28"/>
                <w:szCs w:val="28"/>
              </w:rPr>
            </w:pPr>
          </w:p>
        </w:tc>
      </w:tr>
      <w:tr w14:paraId="0B74A1B3">
        <w:tblPrEx>
          <w:tblCellMar>
            <w:top w:w="0" w:type="dxa"/>
            <w:left w:w="0" w:type="dxa"/>
            <w:bottom w:w="0" w:type="dxa"/>
            <w:right w:w="0" w:type="dxa"/>
          </w:tblCellMar>
        </w:tblPrEx>
        <w:trPr>
          <w:trHeight w:val="284" w:hRule="atLeast"/>
          <w:tblCellSpacing w:w="0" w:type="dxa"/>
        </w:trPr>
        <w:tc>
          <w:tcPr>
            <w:tcW w:w="14459" w:type="dxa"/>
            <w:shd w:val="clear" w:color="auto" w:fill="FFFFFF"/>
            <w:tcMar>
              <w:top w:w="0" w:type="dxa"/>
              <w:left w:w="108" w:type="dxa"/>
              <w:bottom w:w="0" w:type="dxa"/>
              <w:right w:w="108" w:type="dxa"/>
            </w:tcMar>
            <w:vAlign w:val="bottom"/>
          </w:tcPr>
          <w:p w14:paraId="76969F92">
            <w:pPr>
              <w:pStyle w:val="10"/>
              <w:jc w:val="both"/>
              <w:rPr>
                <w:rFonts w:ascii="Times New Roman" w:hAnsi="Times New Roman" w:cs="Times New Roman"/>
                <w:b/>
                <w:sz w:val="28"/>
                <w:szCs w:val="28"/>
              </w:rPr>
            </w:pPr>
          </w:p>
        </w:tc>
      </w:tr>
    </w:tbl>
    <w:p w14:paraId="146BF4AC">
      <w:pPr>
        <w:spacing w:line="240" w:lineRule="auto"/>
      </w:pPr>
    </w:p>
    <w:sectPr>
      <w:pgSz w:w="16838" w:h="11906" w:orient="landscape"/>
      <w:pgMar w:top="426" w:right="1134"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44107"/>
    <w:multiLevelType w:val="multilevel"/>
    <w:tmpl w:val="3FF44107"/>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DB1BFA"/>
    <w:multiLevelType w:val="multilevel"/>
    <w:tmpl w:val="50DB1BF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63D30C2"/>
    <w:multiLevelType w:val="multilevel"/>
    <w:tmpl w:val="563D30C2"/>
    <w:lvl w:ilvl="0" w:tentative="0">
      <w:start w:val="6"/>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34"/>
    <w:rsid w:val="000127A5"/>
    <w:rsid w:val="000157BD"/>
    <w:rsid w:val="00021628"/>
    <w:rsid w:val="00031679"/>
    <w:rsid w:val="00031EB9"/>
    <w:rsid w:val="000462D4"/>
    <w:rsid w:val="0004644A"/>
    <w:rsid w:val="0005292C"/>
    <w:rsid w:val="0007474A"/>
    <w:rsid w:val="00080229"/>
    <w:rsid w:val="00082302"/>
    <w:rsid w:val="0009364B"/>
    <w:rsid w:val="00093B36"/>
    <w:rsid w:val="000A08C4"/>
    <w:rsid w:val="000B0909"/>
    <w:rsid w:val="000B36F1"/>
    <w:rsid w:val="000C1A37"/>
    <w:rsid w:val="000C40F2"/>
    <w:rsid w:val="000D10FD"/>
    <w:rsid w:val="000D6A69"/>
    <w:rsid w:val="000F3CDB"/>
    <w:rsid w:val="00120B44"/>
    <w:rsid w:val="001245E1"/>
    <w:rsid w:val="0013738C"/>
    <w:rsid w:val="00141E7E"/>
    <w:rsid w:val="001420C3"/>
    <w:rsid w:val="00144B2A"/>
    <w:rsid w:val="00163E5D"/>
    <w:rsid w:val="00164A64"/>
    <w:rsid w:val="00164CCC"/>
    <w:rsid w:val="00167599"/>
    <w:rsid w:val="00172425"/>
    <w:rsid w:val="001775D4"/>
    <w:rsid w:val="00183023"/>
    <w:rsid w:val="001857A5"/>
    <w:rsid w:val="00187974"/>
    <w:rsid w:val="00191758"/>
    <w:rsid w:val="001A1520"/>
    <w:rsid w:val="001B29DF"/>
    <w:rsid w:val="001C2019"/>
    <w:rsid w:val="001E25D6"/>
    <w:rsid w:val="001E453E"/>
    <w:rsid w:val="001E690B"/>
    <w:rsid w:val="001F62F5"/>
    <w:rsid w:val="002071A4"/>
    <w:rsid w:val="002222B2"/>
    <w:rsid w:val="00252850"/>
    <w:rsid w:val="00254401"/>
    <w:rsid w:val="002544A3"/>
    <w:rsid w:val="0026325C"/>
    <w:rsid w:val="002643F8"/>
    <w:rsid w:val="002651D4"/>
    <w:rsid w:val="00272915"/>
    <w:rsid w:val="0027309E"/>
    <w:rsid w:val="00276268"/>
    <w:rsid w:val="00280698"/>
    <w:rsid w:val="00283AFA"/>
    <w:rsid w:val="002A23C3"/>
    <w:rsid w:val="002B75E9"/>
    <w:rsid w:val="002B78C5"/>
    <w:rsid w:val="002C1A7D"/>
    <w:rsid w:val="002C54A2"/>
    <w:rsid w:val="002C5C57"/>
    <w:rsid w:val="002D27D2"/>
    <w:rsid w:val="002D5547"/>
    <w:rsid w:val="002E0776"/>
    <w:rsid w:val="002E7C8B"/>
    <w:rsid w:val="00302C2A"/>
    <w:rsid w:val="003065C8"/>
    <w:rsid w:val="003105AE"/>
    <w:rsid w:val="00314AAC"/>
    <w:rsid w:val="00320FFB"/>
    <w:rsid w:val="0032502D"/>
    <w:rsid w:val="003337E6"/>
    <w:rsid w:val="00336635"/>
    <w:rsid w:val="00336A6B"/>
    <w:rsid w:val="00336CBB"/>
    <w:rsid w:val="00344474"/>
    <w:rsid w:val="003503D8"/>
    <w:rsid w:val="003634E0"/>
    <w:rsid w:val="00373FEE"/>
    <w:rsid w:val="00383293"/>
    <w:rsid w:val="00390B43"/>
    <w:rsid w:val="003A5C74"/>
    <w:rsid w:val="003B024F"/>
    <w:rsid w:val="003C3E2E"/>
    <w:rsid w:val="003E3622"/>
    <w:rsid w:val="003E5C2A"/>
    <w:rsid w:val="003F235E"/>
    <w:rsid w:val="003F5379"/>
    <w:rsid w:val="003F67C5"/>
    <w:rsid w:val="00407EAF"/>
    <w:rsid w:val="00431E2E"/>
    <w:rsid w:val="00441748"/>
    <w:rsid w:val="00444D2A"/>
    <w:rsid w:val="00452EAC"/>
    <w:rsid w:val="00471740"/>
    <w:rsid w:val="00476D76"/>
    <w:rsid w:val="00483D28"/>
    <w:rsid w:val="004900C3"/>
    <w:rsid w:val="004A1A20"/>
    <w:rsid w:val="004B3B56"/>
    <w:rsid w:val="004B6593"/>
    <w:rsid w:val="004C156A"/>
    <w:rsid w:val="004D40F3"/>
    <w:rsid w:val="004E0253"/>
    <w:rsid w:val="004E4CCE"/>
    <w:rsid w:val="004E5086"/>
    <w:rsid w:val="004E527D"/>
    <w:rsid w:val="00501E8A"/>
    <w:rsid w:val="005067B6"/>
    <w:rsid w:val="005138FA"/>
    <w:rsid w:val="005239B1"/>
    <w:rsid w:val="0053495B"/>
    <w:rsid w:val="00535E61"/>
    <w:rsid w:val="005771DF"/>
    <w:rsid w:val="00584DE9"/>
    <w:rsid w:val="005857F0"/>
    <w:rsid w:val="00587BB6"/>
    <w:rsid w:val="00591405"/>
    <w:rsid w:val="005925EE"/>
    <w:rsid w:val="005E5046"/>
    <w:rsid w:val="005F1AC6"/>
    <w:rsid w:val="005F1FD6"/>
    <w:rsid w:val="006008BE"/>
    <w:rsid w:val="006020E7"/>
    <w:rsid w:val="00605A64"/>
    <w:rsid w:val="00621195"/>
    <w:rsid w:val="00626CBC"/>
    <w:rsid w:val="00644DEF"/>
    <w:rsid w:val="00651DF1"/>
    <w:rsid w:val="006520FA"/>
    <w:rsid w:val="00677DBF"/>
    <w:rsid w:val="0068586E"/>
    <w:rsid w:val="006A2E92"/>
    <w:rsid w:val="006A7C56"/>
    <w:rsid w:val="006E05A8"/>
    <w:rsid w:val="006E6E44"/>
    <w:rsid w:val="0070340D"/>
    <w:rsid w:val="0070388E"/>
    <w:rsid w:val="007124EB"/>
    <w:rsid w:val="00730A86"/>
    <w:rsid w:val="007353EA"/>
    <w:rsid w:val="00746F68"/>
    <w:rsid w:val="00747023"/>
    <w:rsid w:val="007639BE"/>
    <w:rsid w:val="0077081B"/>
    <w:rsid w:val="00772141"/>
    <w:rsid w:val="007957FF"/>
    <w:rsid w:val="007A100B"/>
    <w:rsid w:val="007A3EAF"/>
    <w:rsid w:val="007B21F9"/>
    <w:rsid w:val="007E045A"/>
    <w:rsid w:val="007E1156"/>
    <w:rsid w:val="007E15AD"/>
    <w:rsid w:val="007E75DB"/>
    <w:rsid w:val="007F03EF"/>
    <w:rsid w:val="007F4144"/>
    <w:rsid w:val="007F7610"/>
    <w:rsid w:val="008021EB"/>
    <w:rsid w:val="00814412"/>
    <w:rsid w:val="00817FCA"/>
    <w:rsid w:val="008357E2"/>
    <w:rsid w:val="008516F8"/>
    <w:rsid w:val="00853290"/>
    <w:rsid w:val="0085376A"/>
    <w:rsid w:val="0085664A"/>
    <w:rsid w:val="008615B6"/>
    <w:rsid w:val="00861FE3"/>
    <w:rsid w:val="00870B25"/>
    <w:rsid w:val="00876A98"/>
    <w:rsid w:val="00884983"/>
    <w:rsid w:val="00897A74"/>
    <w:rsid w:val="008A2060"/>
    <w:rsid w:val="008B099A"/>
    <w:rsid w:val="008B29E5"/>
    <w:rsid w:val="008D24D2"/>
    <w:rsid w:val="008D7B01"/>
    <w:rsid w:val="008E21FE"/>
    <w:rsid w:val="008E25EF"/>
    <w:rsid w:val="008F0715"/>
    <w:rsid w:val="008F2A37"/>
    <w:rsid w:val="008F54C8"/>
    <w:rsid w:val="009007D0"/>
    <w:rsid w:val="0090177A"/>
    <w:rsid w:val="00901D18"/>
    <w:rsid w:val="00917940"/>
    <w:rsid w:val="009219A4"/>
    <w:rsid w:val="00925743"/>
    <w:rsid w:val="00925961"/>
    <w:rsid w:val="009259D7"/>
    <w:rsid w:val="0093049D"/>
    <w:rsid w:val="00942B81"/>
    <w:rsid w:val="00955744"/>
    <w:rsid w:val="00985D01"/>
    <w:rsid w:val="009904A6"/>
    <w:rsid w:val="009A45E0"/>
    <w:rsid w:val="009B28AD"/>
    <w:rsid w:val="009D4652"/>
    <w:rsid w:val="009E4391"/>
    <w:rsid w:val="009F3124"/>
    <w:rsid w:val="00A0311E"/>
    <w:rsid w:val="00A04670"/>
    <w:rsid w:val="00A14BB5"/>
    <w:rsid w:val="00A30769"/>
    <w:rsid w:val="00A41398"/>
    <w:rsid w:val="00A41A0A"/>
    <w:rsid w:val="00A5218C"/>
    <w:rsid w:val="00A534E2"/>
    <w:rsid w:val="00A547B7"/>
    <w:rsid w:val="00A64E36"/>
    <w:rsid w:val="00A67299"/>
    <w:rsid w:val="00A73CE5"/>
    <w:rsid w:val="00A73D1B"/>
    <w:rsid w:val="00A778FE"/>
    <w:rsid w:val="00A91515"/>
    <w:rsid w:val="00AA1636"/>
    <w:rsid w:val="00AA59E8"/>
    <w:rsid w:val="00AA7612"/>
    <w:rsid w:val="00AB30C2"/>
    <w:rsid w:val="00AB6242"/>
    <w:rsid w:val="00AC0E8B"/>
    <w:rsid w:val="00AC72D5"/>
    <w:rsid w:val="00AF748C"/>
    <w:rsid w:val="00B13435"/>
    <w:rsid w:val="00B1669E"/>
    <w:rsid w:val="00B177E4"/>
    <w:rsid w:val="00B21336"/>
    <w:rsid w:val="00B2226C"/>
    <w:rsid w:val="00B31E4F"/>
    <w:rsid w:val="00B46CD2"/>
    <w:rsid w:val="00B555D4"/>
    <w:rsid w:val="00B615F1"/>
    <w:rsid w:val="00B63FD7"/>
    <w:rsid w:val="00B718C3"/>
    <w:rsid w:val="00B756A0"/>
    <w:rsid w:val="00BB417D"/>
    <w:rsid w:val="00BC4F6B"/>
    <w:rsid w:val="00BC60CD"/>
    <w:rsid w:val="00BD66E2"/>
    <w:rsid w:val="00BE0724"/>
    <w:rsid w:val="00BE3217"/>
    <w:rsid w:val="00BF235C"/>
    <w:rsid w:val="00C0728C"/>
    <w:rsid w:val="00C10C99"/>
    <w:rsid w:val="00C11B63"/>
    <w:rsid w:val="00C228CD"/>
    <w:rsid w:val="00C251D0"/>
    <w:rsid w:val="00C34D5B"/>
    <w:rsid w:val="00C45A28"/>
    <w:rsid w:val="00C45C70"/>
    <w:rsid w:val="00C57F6E"/>
    <w:rsid w:val="00C80242"/>
    <w:rsid w:val="00CA1753"/>
    <w:rsid w:val="00CA58F7"/>
    <w:rsid w:val="00CB081E"/>
    <w:rsid w:val="00CB54C4"/>
    <w:rsid w:val="00CC689D"/>
    <w:rsid w:val="00CF2120"/>
    <w:rsid w:val="00D007DA"/>
    <w:rsid w:val="00D11C69"/>
    <w:rsid w:val="00D30B1F"/>
    <w:rsid w:val="00D35929"/>
    <w:rsid w:val="00D37C3B"/>
    <w:rsid w:val="00D60A90"/>
    <w:rsid w:val="00D63545"/>
    <w:rsid w:val="00D67170"/>
    <w:rsid w:val="00D73268"/>
    <w:rsid w:val="00D77921"/>
    <w:rsid w:val="00D81FA3"/>
    <w:rsid w:val="00D82A4F"/>
    <w:rsid w:val="00D832B1"/>
    <w:rsid w:val="00D91EB1"/>
    <w:rsid w:val="00D95121"/>
    <w:rsid w:val="00DA0509"/>
    <w:rsid w:val="00DB1E1E"/>
    <w:rsid w:val="00DB2D2F"/>
    <w:rsid w:val="00DC46B5"/>
    <w:rsid w:val="00DC74B0"/>
    <w:rsid w:val="00DC7B62"/>
    <w:rsid w:val="00DE3673"/>
    <w:rsid w:val="00DE7D53"/>
    <w:rsid w:val="00DF43AE"/>
    <w:rsid w:val="00DF745E"/>
    <w:rsid w:val="00E15150"/>
    <w:rsid w:val="00E27338"/>
    <w:rsid w:val="00E33CE9"/>
    <w:rsid w:val="00E34D3D"/>
    <w:rsid w:val="00E42259"/>
    <w:rsid w:val="00E45B4E"/>
    <w:rsid w:val="00E46413"/>
    <w:rsid w:val="00E60AA5"/>
    <w:rsid w:val="00E71B70"/>
    <w:rsid w:val="00E7399A"/>
    <w:rsid w:val="00E76F04"/>
    <w:rsid w:val="00E812E3"/>
    <w:rsid w:val="00E908C1"/>
    <w:rsid w:val="00EA4B62"/>
    <w:rsid w:val="00EA58D9"/>
    <w:rsid w:val="00EA6F8E"/>
    <w:rsid w:val="00EC070A"/>
    <w:rsid w:val="00EC14C9"/>
    <w:rsid w:val="00EC1D68"/>
    <w:rsid w:val="00ED0B0C"/>
    <w:rsid w:val="00ED13E7"/>
    <w:rsid w:val="00ED5F50"/>
    <w:rsid w:val="00EE4BAC"/>
    <w:rsid w:val="00EE7F17"/>
    <w:rsid w:val="00EF08FD"/>
    <w:rsid w:val="00F123DE"/>
    <w:rsid w:val="00F17034"/>
    <w:rsid w:val="00F24F77"/>
    <w:rsid w:val="00F33F28"/>
    <w:rsid w:val="00F364CC"/>
    <w:rsid w:val="00F608E5"/>
    <w:rsid w:val="00F63B2B"/>
    <w:rsid w:val="00F64868"/>
    <w:rsid w:val="00F74642"/>
    <w:rsid w:val="00F777E1"/>
    <w:rsid w:val="00FA0A18"/>
    <w:rsid w:val="00FA1E5C"/>
    <w:rsid w:val="00FE71C3"/>
    <w:rsid w:val="00FF0067"/>
    <w:rsid w:val="00FF50EA"/>
    <w:rsid w:val="1D9071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header"/>
    <w:basedOn w:val="1"/>
    <w:link w:val="15"/>
    <w:semiHidden/>
    <w:unhideWhenUsed/>
    <w:qFormat/>
    <w:uiPriority w:val="99"/>
    <w:pPr>
      <w:tabs>
        <w:tab w:val="center" w:pos="4677"/>
        <w:tab w:val="right" w:pos="9355"/>
      </w:tabs>
      <w:spacing w:after="0" w:line="240" w:lineRule="auto"/>
    </w:pPr>
  </w:style>
  <w:style w:type="paragraph" w:styleId="7">
    <w:name w:val="footer"/>
    <w:basedOn w:val="1"/>
    <w:link w:val="16"/>
    <w:semiHidden/>
    <w:unhideWhenUsed/>
    <w:qFormat/>
    <w:uiPriority w:val="99"/>
    <w:pPr>
      <w:tabs>
        <w:tab w:val="center" w:pos="4677"/>
        <w:tab w:val="right" w:pos="9355"/>
      </w:tabs>
      <w:spacing w:after="0" w:line="240" w:lineRule="auto"/>
    </w:p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11">
    <w:name w:val="Текст у виносці Знак"/>
    <w:basedOn w:val="2"/>
    <w:link w:val="5"/>
    <w:semiHidden/>
    <w:qFormat/>
    <w:uiPriority w:val="99"/>
    <w:rPr>
      <w:rFonts w:ascii="Tahoma" w:hAnsi="Tahoma" w:cs="Tahoma"/>
      <w:sz w:val="16"/>
      <w:szCs w:val="16"/>
    </w:rPr>
  </w:style>
  <w:style w:type="paragraph" w:customStyle="1" w:styleId="12">
    <w:name w:val="docdat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3">
    <w:name w:val="2011"/>
    <w:basedOn w:val="2"/>
    <w:qFormat/>
    <w:uiPriority w:val="0"/>
  </w:style>
  <w:style w:type="paragraph" w:styleId="14">
    <w:name w:val="List Paragraph"/>
    <w:basedOn w:val="1"/>
    <w:qFormat/>
    <w:uiPriority w:val="34"/>
    <w:pPr>
      <w:spacing w:after="160" w:line="259" w:lineRule="auto"/>
      <w:ind w:left="720"/>
      <w:contextualSpacing/>
    </w:pPr>
  </w:style>
  <w:style w:type="character" w:customStyle="1" w:styleId="15">
    <w:name w:val="Верхній колонтитул Знак"/>
    <w:basedOn w:val="2"/>
    <w:link w:val="6"/>
    <w:semiHidden/>
    <w:qFormat/>
    <w:uiPriority w:val="99"/>
  </w:style>
  <w:style w:type="character" w:customStyle="1" w:styleId="16">
    <w:name w:val="Нижній колонтитул Знак"/>
    <w:basedOn w:val="2"/>
    <w:link w:val="7"/>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0B8A-A30F-4E23-96FC-0BB24A761B98}">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11</Pages>
  <Words>9710</Words>
  <Characters>5535</Characters>
  <Lines>46</Lines>
  <Paragraphs>30</Paragraphs>
  <TotalTime>285</TotalTime>
  <ScaleCrop>false</ScaleCrop>
  <LinksUpToDate>false</LinksUpToDate>
  <CharactersWithSpaces>15215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2025-02-28T08:36:00Z</dcterms:created>
  <dc:creator>User</dc:creator>
  <cp:lastModifiedBy>Відділ ІТ та ана�</cp:lastModifiedBy>
  <cp:lastPrinted>2025-03-11T07:40:00Z</cp:lastPrinted>
  <dcterms:modified xsi:type="dcterms:W3CDTF">2025-03-13T06:42:32Z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F09B97CEFFBD488BAD7A1149BEF91841_12</vt:lpwstr>
  </property>
</Properties>
</file>