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435A1" w14:textId="77777777" w:rsidR="005F43F7" w:rsidRPr="00A6607D" w:rsidRDefault="005F43F7" w:rsidP="005F43F7">
      <w:pPr>
        <w:widowControl/>
        <w:suppressAutoHyphens w:val="0"/>
        <w:ind w:right="142" w:firstLine="6379"/>
        <w:rPr>
          <w:rFonts w:cs="Times New Roman"/>
          <w:kern w:val="0"/>
          <w:lang w:val="uk-UA" w:eastAsia="ru-RU" w:bidi="ar-SA"/>
        </w:rPr>
      </w:pPr>
      <w:r w:rsidRPr="00A6607D">
        <w:rPr>
          <w:rFonts w:eastAsia="Times New Roman" w:cs="Times New Roman"/>
          <w:b/>
          <w:noProof/>
          <w:kern w:val="0"/>
          <w:sz w:val="28"/>
          <w:szCs w:val="28"/>
          <w:lang w:val="uk-UA" w:eastAsia="uk-UA" w:bidi="ar-SA"/>
        </w:rPr>
        <w:drawing>
          <wp:anchor distT="0" distB="0" distL="114300" distR="114300" simplePos="0" relativeHeight="251659264" behindDoc="1" locked="0" layoutInCell="1" allowOverlap="1" wp14:anchorId="1171059F" wp14:editId="37F16C78">
            <wp:simplePos x="0" y="0"/>
            <wp:positionH relativeFrom="column">
              <wp:posOffset>-616889</wp:posOffset>
            </wp:positionH>
            <wp:positionV relativeFrom="paragraph">
              <wp:posOffset>-131252</wp:posOffset>
            </wp:positionV>
            <wp:extent cx="4802588" cy="974725"/>
            <wp:effectExtent l="0" t="0" r="0" b="0"/>
            <wp:wrapNone/>
            <wp:docPr id="1175412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2588" cy="974725"/>
                    </a:xfrm>
                    <a:prstGeom prst="rect">
                      <a:avLst/>
                    </a:prstGeom>
                    <a:noFill/>
                  </pic:spPr>
                </pic:pic>
              </a:graphicData>
            </a:graphic>
          </wp:anchor>
        </w:drawing>
      </w:r>
      <w:r w:rsidRPr="00A6607D">
        <w:rPr>
          <w:rFonts w:cs="Times New Roman"/>
          <w:kern w:val="0"/>
          <w:lang w:val="uk-UA" w:eastAsia="ru-RU" w:bidi="ar-SA"/>
        </w:rPr>
        <w:t>Додаток</w:t>
      </w:r>
    </w:p>
    <w:p w14:paraId="667A3328" w14:textId="77777777" w:rsidR="005F43F7" w:rsidRPr="00A6607D" w:rsidRDefault="005F43F7" w:rsidP="005F43F7">
      <w:pPr>
        <w:widowControl/>
        <w:suppressAutoHyphens w:val="0"/>
        <w:ind w:right="142" w:firstLine="6379"/>
        <w:rPr>
          <w:rFonts w:cs="Times New Roman"/>
          <w:kern w:val="0"/>
          <w:lang w:val="uk-UA" w:eastAsia="ru-RU" w:bidi="ar-SA"/>
        </w:rPr>
      </w:pPr>
      <w:r w:rsidRPr="00A6607D">
        <w:rPr>
          <w:rFonts w:cs="Times New Roman"/>
          <w:kern w:val="0"/>
          <w:lang w:val="uk-UA" w:eastAsia="ru-RU" w:bidi="ar-SA"/>
        </w:rPr>
        <w:t>ЗАТВЕРДЖЕНО</w:t>
      </w:r>
    </w:p>
    <w:p w14:paraId="79098548" w14:textId="11288FD2" w:rsidR="005F43F7" w:rsidRPr="00A6607D" w:rsidRDefault="005F43F7" w:rsidP="005F43F7">
      <w:pPr>
        <w:widowControl/>
        <w:suppressAutoHyphens w:val="0"/>
        <w:ind w:right="142" w:firstLine="6379"/>
        <w:rPr>
          <w:rFonts w:cs="Times New Roman"/>
          <w:kern w:val="0"/>
          <w:lang w:val="uk-UA" w:eastAsia="ru-RU" w:bidi="ar-SA"/>
        </w:rPr>
      </w:pPr>
      <w:r w:rsidRPr="00A6607D">
        <w:rPr>
          <w:rFonts w:cs="Times New Roman"/>
          <w:kern w:val="0"/>
          <w:lang w:val="uk-UA" w:eastAsia="ru-RU" w:bidi="ar-SA"/>
        </w:rPr>
        <w:t xml:space="preserve">рішення </w:t>
      </w:r>
      <w:r w:rsidR="00D55AD9" w:rsidRPr="00D55AD9">
        <w:rPr>
          <w:color w:val="000000"/>
          <w:lang w:val="en-US"/>
        </w:rPr>
        <w:t>L</w:t>
      </w:r>
      <w:r w:rsidR="00D55AD9" w:rsidRPr="00D55AD9">
        <w:rPr>
          <w:color w:val="000000"/>
          <w:lang w:val="uk-UA"/>
        </w:rPr>
        <w:t>ХХІІІ</w:t>
      </w:r>
      <w:r w:rsidR="00D55AD9">
        <w:rPr>
          <w:color w:val="000000"/>
          <w:sz w:val="28"/>
          <w:szCs w:val="28"/>
          <w:lang w:val="uk-UA"/>
        </w:rPr>
        <w:t xml:space="preserve"> </w:t>
      </w:r>
      <w:r w:rsidRPr="00A6607D">
        <w:rPr>
          <w:rFonts w:cs="Times New Roman"/>
          <w:kern w:val="0"/>
          <w:lang w:val="uk-UA" w:eastAsia="ru-RU" w:bidi="ar-SA"/>
        </w:rPr>
        <w:t>сесії міської ади</w:t>
      </w:r>
    </w:p>
    <w:p w14:paraId="7D4B0FBE" w14:textId="09DA2776" w:rsidR="005F43F7" w:rsidRPr="00A6607D" w:rsidRDefault="00D55AD9" w:rsidP="005F43F7">
      <w:pPr>
        <w:widowControl/>
        <w:suppressAutoHyphens w:val="0"/>
        <w:ind w:right="142" w:firstLine="6379"/>
        <w:rPr>
          <w:rFonts w:cs="Times New Roman"/>
          <w:kern w:val="0"/>
          <w:lang w:val="uk-UA" w:eastAsia="ru-RU" w:bidi="ar-SA"/>
        </w:rPr>
      </w:pPr>
      <w:r>
        <w:rPr>
          <w:rFonts w:cs="Times New Roman"/>
          <w:kern w:val="0"/>
          <w:lang w:val="uk-UA" w:eastAsia="ru-RU" w:bidi="ar-SA"/>
        </w:rPr>
        <w:t xml:space="preserve">23.12.2025  </w:t>
      </w:r>
      <w:r w:rsidR="005F43F7" w:rsidRPr="00A6607D">
        <w:rPr>
          <w:rFonts w:cs="Times New Roman"/>
          <w:kern w:val="0"/>
          <w:lang w:val="uk-UA" w:eastAsia="ru-RU" w:bidi="ar-SA"/>
        </w:rPr>
        <w:t xml:space="preserve">№ </w:t>
      </w:r>
      <w:r>
        <w:rPr>
          <w:rFonts w:cs="Times New Roman"/>
          <w:kern w:val="0"/>
          <w:lang w:val="uk-UA" w:eastAsia="ru-RU" w:bidi="ar-SA"/>
        </w:rPr>
        <w:t>3760</w:t>
      </w:r>
    </w:p>
    <w:p w14:paraId="43A7DE24"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1A01D722"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53A6F4D7"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bookmarkStart w:id="0" w:name="_GoBack"/>
      <w:bookmarkEnd w:id="0"/>
    </w:p>
    <w:p w14:paraId="470BAC81"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25E5A6E2"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763FF3A8"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0E735FC8" w14:textId="77777777" w:rsidR="005F43F7" w:rsidRPr="00A6607D" w:rsidRDefault="005F43F7" w:rsidP="005F43F7">
      <w:pPr>
        <w:widowControl/>
        <w:suppressAutoHyphens w:val="0"/>
        <w:jc w:val="center"/>
        <w:rPr>
          <w:rFonts w:eastAsia="Times New Roman" w:cs="Times New Roman"/>
          <w:b/>
          <w:kern w:val="0"/>
          <w:sz w:val="48"/>
          <w:szCs w:val="48"/>
          <w:lang w:val="uk-UA" w:eastAsia="ru-RU" w:bidi="ar-SA"/>
        </w:rPr>
      </w:pPr>
      <w:r w:rsidRPr="00A6607D">
        <w:rPr>
          <w:rFonts w:eastAsia="Times New Roman" w:cs="Times New Roman"/>
          <w:b/>
          <w:kern w:val="0"/>
          <w:sz w:val="48"/>
          <w:szCs w:val="48"/>
          <w:lang w:val="uk-UA" w:eastAsia="ru-RU" w:bidi="ar-SA"/>
        </w:rPr>
        <w:t xml:space="preserve">ПРОГРАМА </w:t>
      </w:r>
    </w:p>
    <w:p w14:paraId="0BFDFFE0" w14:textId="77777777" w:rsidR="00BE1022" w:rsidRPr="00A6607D" w:rsidRDefault="005F43F7" w:rsidP="005F43F7">
      <w:pPr>
        <w:widowControl/>
        <w:suppressAutoHyphens w:val="0"/>
        <w:jc w:val="center"/>
        <w:rPr>
          <w:rFonts w:eastAsia="Times New Roman" w:cs="Times New Roman"/>
          <w:b/>
          <w:kern w:val="0"/>
          <w:sz w:val="48"/>
          <w:szCs w:val="48"/>
          <w:lang w:val="uk-UA" w:eastAsia="ru-RU" w:bidi="ar-SA"/>
        </w:rPr>
      </w:pPr>
      <w:r w:rsidRPr="00A6607D">
        <w:rPr>
          <w:rFonts w:eastAsia="Times New Roman" w:cs="Times New Roman"/>
          <w:b/>
          <w:kern w:val="0"/>
          <w:sz w:val="48"/>
          <w:szCs w:val="48"/>
          <w:lang w:val="uk-UA" w:eastAsia="ru-RU" w:bidi="ar-SA"/>
        </w:rPr>
        <w:t>«</w:t>
      </w:r>
      <w:r w:rsidR="00BE1022" w:rsidRPr="00A6607D">
        <w:rPr>
          <w:rFonts w:cs="Times New Roman"/>
          <w:b/>
          <w:bCs/>
          <w:sz w:val="48"/>
          <w:szCs w:val="4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Pr="00A6607D">
        <w:rPr>
          <w:rFonts w:eastAsia="Times New Roman" w:cs="Times New Roman"/>
          <w:b/>
          <w:kern w:val="0"/>
          <w:sz w:val="48"/>
          <w:szCs w:val="48"/>
          <w:lang w:val="uk-UA" w:eastAsia="ru-RU" w:bidi="ar-SA"/>
        </w:rPr>
        <w:t xml:space="preserve">» </w:t>
      </w:r>
    </w:p>
    <w:p w14:paraId="7B2E36EC" w14:textId="6E13E325" w:rsidR="005F43F7" w:rsidRPr="00A6607D" w:rsidRDefault="005F43F7" w:rsidP="005F43F7">
      <w:pPr>
        <w:widowControl/>
        <w:suppressAutoHyphens w:val="0"/>
        <w:jc w:val="center"/>
        <w:rPr>
          <w:rFonts w:eastAsia="Times New Roman" w:cs="Times New Roman"/>
          <w:b/>
          <w:kern w:val="0"/>
          <w:sz w:val="48"/>
          <w:szCs w:val="48"/>
          <w:lang w:val="uk-UA" w:eastAsia="ru-RU" w:bidi="ar-SA"/>
        </w:rPr>
      </w:pPr>
      <w:r w:rsidRPr="00A6607D">
        <w:rPr>
          <w:rFonts w:eastAsia="Times New Roman" w:cs="Times New Roman"/>
          <w:b/>
          <w:kern w:val="0"/>
          <w:sz w:val="48"/>
          <w:szCs w:val="48"/>
          <w:lang w:val="uk-UA" w:eastAsia="ru-RU" w:bidi="ar-SA"/>
        </w:rPr>
        <w:t>на період 2025-2029 роки</w:t>
      </w:r>
    </w:p>
    <w:p w14:paraId="36FDEF93"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46DCAD59"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1AF30C19"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7923C99C"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6CFA5E27"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5BFB015E"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47704F16"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3A96D3F6"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474E5D75"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7502589B" w14:textId="77777777" w:rsidR="005F43F7" w:rsidRPr="00A6607D" w:rsidRDefault="005F43F7" w:rsidP="0053314F">
      <w:pPr>
        <w:widowControl/>
        <w:suppressAutoHyphens w:val="0"/>
        <w:rPr>
          <w:rFonts w:eastAsia="Times New Roman" w:cs="Times New Roman"/>
          <w:kern w:val="0"/>
          <w:lang w:val="uk-UA" w:eastAsia="ru-RU" w:bidi="ar-SA"/>
        </w:rPr>
      </w:pPr>
    </w:p>
    <w:p w14:paraId="760E2146" w14:textId="77777777" w:rsidR="00F1059A" w:rsidRPr="00A6607D" w:rsidRDefault="00F1059A" w:rsidP="00E1512D">
      <w:pPr>
        <w:widowControl/>
        <w:suppressAutoHyphens w:val="0"/>
        <w:jc w:val="center"/>
        <w:rPr>
          <w:rFonts w:eastAsia="Times New Roman" w:cs="Times New Roman"/>
          <w:bCs/>
          <w:kern w:val="0"/>
          <w:sz w:val="28"/>
          <w:szCs w:val="28"/>
          <w:lang w:val="uk-UA" w:eastAsia="ru-RU" w:bidi="ar-SA"/>
        </w:rPr>
      </w:pPr>
      <w:r w:rsidRPr="00A6607D">
        <w:rPr>
          <w:rFonts w:eastAsia="Times New Roman" w:cs="Times New Roman"/>
          <w:bCs/>
          <w:kern w:val="0"/>
          <w:sz w:val="28"/>
          <w:szCs w:val="28"/>
          <w:lang w:val="uk-UA" w:eastAsia="ru-RU" w:bidi="ar-SA"/>
        </w:rPr>
        <w:t>Паспорт</w:t>
      </w:r>
    </w:p>
    <w:p w14:paraId="171F7B16" w14:textId="4E3E5A28" w:rsidR="00C12DE0" w:rsidRPr="00A6607D" w:rsidRDefault="00F1059A" w:rsidP="00E1512D">
      <w:pPr>
        <w:autoSpaceDE w:val="0"/>
        <w:autoSpaceDN w:val="0"/>
        <w:ind w:right="-81"/>
        <w:jc w:val="center"/>
        <w:rPr>
          <w:rFonts w:cs="Times New Roman"/>
          <w:spacing w:val="-12"/>
          <w:sz w:val="28"/>
          <w:szCs w:val="28"/>
          <w:lang w:val="uk-UA" w:eastAsia="uk-UA"/>
        </w:rPr>
      </w:pPr>
      <w:r w:rsidRPr="00A6607D">
        <w:rPr>
          <w:rFonts w:cs="Times New Roman"/>
          <w:bCs/>
          <w:spacing w:val="-12"/>
          <w:sz w:val="28"/>
          <w:szCs w:val="28"/>
          <w:lang w:val="uk-UA" w:eastAsia="uk-UA"/>
        </w:rPr>
        <w:t xml:space="preserve">Програми  </w:t>
      </w:r>
      <w:bookmarkStart w:id="1" w:name="_Hlk213772156"/>
      <w:r w:rsidR="000E063F" w:rsidRPr="00A6607D">
        <w:rPr>
          <w:rFonts w:cs="Times New Roman"/>
          <w:spacing w:val="-12"/>
          <w:sz w:val="28"/>
          <w:szCs w:val="28"/>
          <w:lang w:val="uk-UA" w:eastAsia="uk-UA"/>
        </w:rPr>
        <w:t>«</w:t>
      </w:r>
      <w:r w:rsidR="00BE1022" w:rsidRPr="00A6607D">
        <w:rPr>
          <w:rFonts w:cs="Times New Roman"/>
          <w:sz w:val="28"/>
          <w:szCs w:val="2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000E063F" w:rsidRPr="00A6607D">
        <w:rPr>
          <w:rFonts w:cs="Times New Roman"/>
          <w:spacing w:val="-12"/>
          <w:sz w:val="28"/>
          <w:szCs w:val="28"/>
          <w:lang w:val="uk-UA" w:eastAsia="uk-UA"/>
        </w:rPr>
        <w:t xml:space="preserve">» </w:t>
      </w:r>
      <w:bookmarkEnd w:id="1"/>
    </w:p>
    <w:p w14:paraId="2DC1A9D3" w14:textId="5C4D1A75" w:rsidR="000E063F" w:rsidRPr="00A6607D" w:rsidRDefault="00A30330" w:rsidP="00E1512D">
      <w:pPr>
        <w:autoSpaceDE w:val="0"/>
        <w:autoSpaceDN w:val="0"/>
        <w:ind w:right="-81"/>
        <w:jc w:val="center"/>
        <w:rPr>
          <w:rFonts w:cs="Times New Roman"/>
          <w:spacing w:val="-12"/>
          <w:sz w:val="28"/>
          <w:szCs w:val="28"/>
          <w:lang w:val="uk-UA" w:eastAsia="uk-UA"/>
        </w:rPr>
      </w:pPr>
      <w:r w:rsidRPr="00A6607D">
        <w:rPr>
          <w:rFonts w:cs="Times New Roman"/>
          <w:spacing w:val="-12"/>
          <w:sz w:val="28"/>
          <w:szCs w:val="28"/>
          <w:lang w:val="uk-UA" w:eastAsia="uk-UA"/>
        </w:rPr>
        <w:t xml:space="preserve">на період </w:t>
      </w:r>
      <w:r w:rsidR="0003708D" w:rsidRPr="00A6607D">
        <w:rPr>
          <w:rFonts w:cs="Times New Roman"/>
          <w:spacing w:val="-12"/>
          <w:sz w:val="28"/>
          <w:szCs w:val="28"/>
          <w:lang w:val="uk-UA" w:eastAsia="uk-UA"/>
        </w:rPr>
        <w:t xml:space="preserve"> 2025</w:t>
      </w:r>
      <w:r w:rsidR="00B81464" w:rsidRPr="00A6607D">
        <w:rPr>
          <w:rFonts w:cs="Times New Roman"/>
          <w:spacing w:val="-12"/>
          <w:sz w:val="28"/>
          <w:szCs w:val="28"/>
          <w:lang w:val="uk-UA" w:eastAsia="uk-UA"/>
        </w:rPr>
        <w:t xml:space="preserve"> </w:t>
      </w:r>
      <w:r w:rsidR="0003708D" w:rsidRPr="00A6607D">
        <w:rPr>
          <w:rFonts w:cs="Times New Roman"/>
          <w:spacing w:val="-12"/>
          <w:sz w:val="28"/>
          <w:szCs w:val="28"/>
          <w:lang w:val="uk-UA" w:eastAsia="uk-UA"/>
        </w:rPr>
        <w:t>- 2029 роки</w:t>
      </w:r>
    </w:p>
    <w:p w14:paraId="799CCB48" w14:textId="77777777" w:rsidR="000E063F" w:rsidRPr="00A6607D" w:rsidRDefault="000E063F" w:rsidP="00E1512D">
      <w:pPr>
        <w:autoSpaceDE w:val="0"/>
        <w:autoSpaceDN w:val="0"/>
        <w:ind w:right="-81"/>
        <w:rPr>
          <w:rFonts w:cs="Times New Roman"/>
          <w:spacing w:val="-12"/>
          <w:sz w:val="28"/>
          <w:szCs w:val="28"/>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3"/>
        <w:gridCol w:w="5239"/>
      </w:tblGrid>
      <w:tr w:rsidR="00126135" w:rsidRPr="005E1561" w14:paraId="18B4BDAA"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0F2F7BE0"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Ініціатор розроблення Програми</w:t>
            </w:r>
          </w:p>
        </w:tc>
        <w:tc>
          <w:tcPr>
            <w:tcW w:w="6652" w:type="dxa"/>
            <w:gridSpan w:val="2"/>
            <w:tcBorders>
              <w:top w:val="single" w:sz="4" w:space="0" w:color="auto"/>
              <w:left w:val="single" w:sz="4" w:space="0" w:color="auto"/>
              <w:bottom w:val="single" w:sz="4" w:space="0" w:color="auto"/>
              <w:right w:val="single" w:sz="4" w:space="0" w:color="auto"/>
            </w:tcBorders>
          </w:tcPr>
          <w:p w14:paraId="2BAFF773" w14:textId="03731CE4" w:rsidR="00F1059A" w:rsidRPr="00A6607D" w:rsidRDefault="00F1059A" w:rsidP="00E1512D">
            <w:pPr>
              <w:tabs>
                <w:tab w:val="left" w:pos="521"/>
              </w:tabs>
              <w:autoSpaceDE w:val="0"/>
              <w:autoSpaceDN w:val="0"/>
              <w:adjustRightInd w:val="0"/>
              <w:ind w:left="-57" w:right="-57"/>
              <w:rPr>
                <w:rFonts w:cs="Times New Roman"/>
                <w:spacing w:val="-12"/>
                <w:sz w:val="28"/>
                <w:szCs w:val="28"/>
                <w:lang w:val="uk-UA" w:bidi="uk-UA"/>
              </w:rPr>
            </w:pPr>
            <w:r w:rsidRPr="00A6607D">
              <w:rPr>
                <w:rFonts w:cs="Times New Roman"/>
                <w:spacing w:val="-12"/>
                <w:sz w:val="28"/>
                <w:szCs w:val="28"/>
                <w:lang w:val="uk-UA"/>
              </w:rPr>
              <w:t xml:space="preserve"> </w:t>
            </w:r>
            <w:r w:rsidR="00BE1022" w:rsidRPr="00A6607D">
              <w:rPr>
                <w:rFonts w:cs="Times New Roman"/>
                <w:spacing w:val="-12"/>
                <w:sz w:val="28"/>
                <w:szCs w:val="28"/>
                <w:lang w:val="uk-UA" w:bidi="uk-UA"/>
              </w:rPr>
              <w:t xml:space="preserve">Управління інвестицій та економічного розвитку </w:t>
            </w:r>
            <w:r w:rsidR="005E1561">
              <w:rPr>
                <w:rFonts w:cs="Times New Roman"/>
                <w:spacing w:val="-12"/>
                <w:sz w:val="28"/>
                <w:szCs w:val="28"/>
                <w:lang w:val="uk-UA" w:bidi="uk-UA"/>
              </w:rPr>
              <w:t xml:space="preserve">виконавчого комітету </w:t>
            </w:r>
            <w:r w:rsidR="00BE1022" w:rsidRPr="00A6607D">
              <w:rPr>
                <w:rFonts w:cs="Times New Roman"/>
                <w:spacing w:val="-12"/>
                <w:sz w:val="28"/>
                <w:szCs w:val="28"/>
                <w:lang w:val="uk-UA" w:bidi="uk-UA"/>
              </w:rPr>
              <w:t>Дрогобицької</w:t>
            </w:r>
            <w:r w:rsidRPr="00A6607D">
              <w:rPr>
                <w:rFonts w:cs="Times New Roman"/>
                <w:spacing w:val="-12"/>
                <w:sz w:val="28"/>
                <w:szCs w:val="28"/>
                <w:lang w:val="uk-UA" w:bidi="uk-UA"/>
              </w:rPr>
              <w:t xml:space="preserve"> міської ради.</w:t>
            </w:r>
          </w:p>
        </w:tc>
      </w:tr>
      <w:tr w:rsidR="00126135" w:rsidRPr="00A6607D" w14:paraId="2C7F7B63"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68DCCFCA"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rPr>
            </w:pPr>
            <w:r w:rsidRPr="00A6607D">
              <w:rPr>
                <w:rFonts w:cs="Times New Roman"/>
                <w:bCs/>
                <w:spacing w:val="-12"/>
                <w:sz w:val="28"/>
                <w:szCs w:val="28"/>
                <w:lang w:val="uk-UA"/>
              </w:rPr>
              <w:t xml:space="preserve">Назва розпорядчого документу про розроблення Програми </w:t>
            </w:r>
          </w:p>
        </w:tc>
        <w:tc>
          <w:tcPr>
            <w:tcW w:w="6652" w:type="dxa"/>
            <w:gridSpan w:val="2"/>
            <w:tcBorders>
              <w:top w:val="single" w:sz="4" w:space="0" w:color="auto"/>
              <w:left w:val="single" w:sz="4" w:space="0" w:color="auto"/>
              <w:bottom w:val="single" w:sz="4" w:space="0" w:color="auto"/>
              <w:right w:val="single" w:sz="4" w:space="0" w:color="auto"/>
            </w:tcBorders>
          </w:tcPr>
          <w:p w14:paraId="7A1C5896" w14:textId="77777777" w:rsidR="00F1059A" w:rsidRPr="00A6607D" w:rsidRDefault="007718CE" w:rsidP="00E1512D">
            <w:pPr>
              <w:rPr>
                <w:rFonts w:cs="Times New Roman"/>
                <w:spacing w:val="-12"/>
                <w:sz w:val="28"/>
                <w:szCs w:val="28"/>
                <w:lang w:val="uk-UA" w:eastAsia="uk-UA"/>
              </w:rPr>
            </w:pPr>
            <w:r w:rsidRPr="00A6607D">
              <w:rPr>
                <w:rFonts w:cs="Times New Roman"/>
                <w:spacing w:val="-12"/>
                <w:sz w:val="28"/>
                <w:szCs w:val="28"/>
                <w:lang w:val="uk-UA" w:eastAsia="uk-UA"/>
              </w:rPr>
              <w:t>Закон України «Про місцеве самоврядування в Україні», Бюджетний Кодекс, Договір про надання субсидії, Угода про  партнерство в межах проекту.</w:t>
            </w:r>
          </w:p>
        </w:tc>
      </w:tr>
      <w:tr w:rsidR="00126135" w:rsidRPr="00A6607D" w14:paraId="13D64A7E" w14:textId="77777777" w:rsidTr="00F1059A">
        <w:trPr>
          <w:trHeight w:val="311"/>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31AD5969"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eastAsia="en-US"/>
              </w:rPr>
              <w:t xml:space="preserve">Розробник Програми </w:t>
            </w:r>
          </w:p>
        </w:tc>
        <w:tc>
          <w:tcPr>
            <w:tcW w:w="6652" w:type="dxa"/>
            <w:gridSpan w:val="2"/>
            <w:tcBorders>
              <w:top w:val="single" w:sz="4" w:space="0" w:color="auto"/>
              <w:left w:val="single" w:sz="4" w:space="0" w:color="auto"/>
              <w:bottom w:val="single" w:sz="4" w:space="0" w:color="auto"/>
              <w:right w:val="single" w:sz="4" w:space="0" w:color="auto"/>
            </w:tcBorders>
          </w:tcPr>
          <w:p w14:paraId="624BDFD1" w14:textId="6DC6CAFC"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rPr>
              <w:t xml:space="preserve">Виконавчий комітет </w:t>
            </w:r>
            <w:r w:rsidR="003E4595" w:rsidRPr="00A6607D">
              <w:rPr>
                <w:rFonts w:cs="Times New Roman"/>
                <w:spacing w:val="-12"/>
                <w:sz w:val="28"/>
                <w:szCs w:val="28"/>
                <w:lang w:val="uk-UA"/>
              </w:rPr>
              <w:t>Дрогобицької міської ради</w:t>
            </w:r>
          </w:p>
        </w:tc>
      </w:tr>
      <w:tr w:rsidR="00126135" w:rsidRPr="005E1561" w14:paraId="0DBD3075" w14:textId="77777777" w:rsidTr="00F1059A">
        <w:trPr>
          <w:trHeight w:val="311"/>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1EF47707"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eastAsia="en-US"/>
              </w:rPr>
              <w:t xml:space="preserve">Спів розробники Програми </w:t>
            </w:r>
          </w:p>
        </w:tc>
        <w:tc>
          <w:tcPr>
            <w:tcW w:w="6652" w:type="dxa"/>
            <w:gridSpan w:val="2"/>
            <w:tcBorders>
              <w:top w:val="single" w:sz="4" w:space="0" w:color="auto"/>
              <w:left w:val="single" w:sz="4" w:space="0" w:color="auto"/>
              <w:bottom w:val="single" w:sz="4" w:space="0" w:color="auto"/>
              <w:right w:val="single" w:sz="4" w:space="0" w:color="auto"/>
            </w:tcBorders>
          </w:tcPr>
          <w:p w14:paraId="23870450" w14:textId="33118D79" w:rsidR="00F1059A" w:rsidRPr="00A6607D" w:rsidRDefault="003E4595" w:rsidP="00E1512D">
            <w:pPr>
              <w:tabs>
                <w:tab w:val="left" w:pos="521"/>
              </w:tabs>
              <w:autoSpaceDE w:val="0"/>
              <w:autoSpaceDN w:val="0"/>
              <w:adjustRightInd w:val="0"/>
              <w:ind w:left="-57" w:right="-57"/>
              <w:jc w:val="both"/>
              <w:rPr>
                <w:rFonts w:cs="Times New Roman"/>
                <w:spacing w:val="-12"/>
                <w:sz w:val="28"/>
                <w:szCs w:val="28"/>
                <w:lang w:val="uk-UA"/>
              </w:rPr>
            </w:pPr>
            <w:r w:rsidRPr="00A6607D">
              <w:rPr>
                <w:rFonts w:cs="Times New Roman"/>
                <w:spacing w:val="-12"/>
                <w:sz w:val="28"/>
                <w:szCs w:val="28"/>
                <w:lang w:val="uk-UA" w:bidi="uk-UA"/>
              </w:rPr>
              <w:t xml:space="preserve">Відділ з питань міжнародного співробітництва та </w:t>
            </w:r>
            <w:r w:rsidR="007718CE" w:rsidRPr="00A6607D">
              <w:rPr>
                <w:rFonts w:cs="Times New Roman"/>
                <w:spacing w:val="-12"/>
                <w:sz w:val="28"/>
                <w:szCs w:val="28"/>
                <w:lang w:val="uk-UA" w:bidi="uk-UA"/>
              </w:rPr>
              <w:t>енергоменеджменту</w:t>
            </w:r>
            <w:r w:rsidR="005E1561">
              <w:rPr>
                <w:rFonts w:cs="Times New Roman"/>
                <w:spacing w:val="-12"/>
                <w:sz w:val="28"/>
                <w:szCs w:val="28"/>
                <w:lang w:val="uk-UA" w:bidi="uk-UA"/>
              </w:rPr>
              <w:t>, енергоменеджер</w:t>
            </w:r>
            <w:r w:rsidR="007718CE" w:rsidRPr="00A6607D">
              <w:rPr>
                <w:rFonts w:cs="Times New Roman"/>
                <w:spacing w:val="-12"/>
                <w:sz w:val="28"/>
                <w:szCs w:val="28"/>
                <w:lang w:val="uk-UA" w:bidi="uk-UA"/>
              </w:rPr>
              <w:t xml:space="preserve"> </w:t>
            </w:r>
            <w:r w:rsidRPr="00A6607D">
              <w:rPr>
                <w:rFonts w:cs="Times New Roman"/>
                <w:spacing w:val="-12"/>
                <w:sz w:val="28"/>
                <w:szCs w:val="28"/>
                <w:lang w:val="uk-UA" w:bidi="uk-UA"/>
              </w:rPr>
              <w:t xml:space="preserve">управління інвестицій та економічного розвитку </w:t>
            </w:r>
            <w:r w:rsidR="007718CE" w:rsidRPr="00A6607D">
              <w:rPr>
                <w:rFonts w:cs="Times New Roman"/>
                <w:spacing w:val="-12"/>
                <w:sz w:val="28"/>
                <w:szCs w:val="28"/>
                <w:lang w:val="uk-UA" w:bidi="uk-UA"/>
              </w:rPr>
              <w:t xml:space="preserve">виконавчого комітету </w:t>
            </w:r>
            <w:r w:rsidRPr="00A6607D">
              <w:rPr>
                <w:rFonts w:cs="Times New Roman"/>
                <w:spacing w:val="-12"/>
                <w:sz w:val="28"/>
                <w:szCs w:val="28"/>
                <w:lang w:val="uk-UA" w:bidi="uk-UA"/>
              </w:rPr>
              <w:t xml:space="preserve">Дрогобицької </w:t>
            </w:r>
            <w:r w:rsidR="007718CE" w:rsidRPr="00A6607D">
              <w:rPr>
                <w:rFonts w:cs="Times New Roman"/>
                <w:spacing w:val="-12"/>
                <w:sz w:val="28"/>
                <w:szCs w:val="28"/>
                <w:lang w:val="uk-UA" w:bidi="uk-UA"/>
              </w:rPr>
              <w:t>міської ради.</w:t>
            </w:r>
          </w:p>
        </w:tc>
      </w:tr>
      <w:tr w:rsidR="00126135" w:rsidRPr="00A6607D" w14:paraId="018E928A"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2DF89F3E"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Відповідальні виконавці Програми</w:t>
            </w:r>
          </w:p>
        </w:tc>
        <w:tc>
          <w:tcPr>
            <w:tcW w:w="6652" w:type="dxa"/>
            <w:gridSpan w:val="2"/>
            <w:tcBorders>
              <w:top w:val="single" w:sz="4" w:space="0" w:color="auto"/>
              <w:left w:val="single" w:sz="4" w:space="0" w:color="auto"/>
              <w:bottom w:val="single" w:sz="4" w:space="0" w:color="auto"/>
              <w:right w:val="single" w:sz="4" w:space="0" w:color="auto"/>
            </w:tcBorders>
            <w:hideMark/>
          </w:tcPr>
          <w:p w14:paraId="3601E3D7" w14:textId="003CE409"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rPr>
              <w:t xml:space="preserve">Виконавчий комітет </w:t>
            </w:r>
            <w:r w:rsidR="003E4595" w:rsidRPr="00A6607D">
              <w:rPr>
                <w:rFonts w:cs="Times New Roman"/>
                <w:spacing w:val="-12"/>
                <w:sz w:val="28"/>
                <w:szCs w:val="28"/>
                <w:lang w:val="uk-UA" w:bidi="uk-UA"/>
              </w:rPr>
              <w:t>Дрогобицької міської ради.</w:t>
            </w:r>
          </w:p>
        </w:tc>
      </w:tr>
      <w:tr w:rsidR="00126135" w:rsidRPr="005E1561" w14:paraId="07417402"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55986D08" w14:textId="77777777" w:rsidR="00F1059A" w:rsidRPr="00A6607D" w:rsidRDefault="004A7F10"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Партнери</w:t>
            </w:r>
            <w:r w:rsidR="00F1059A" w:rsidRPr="00A6607D">
              <w:rPr>
                <w:rFonts w:cs="Times New Roman"/>
                <w:bCs/>
                <w:spacing w:val="-12"/>
                <w:sz w:val="28"/>
                <w:szCs w:val="28"/>
                <w:lang w:val="uk-UA"/>
              </w:rPr>
              <w:t xml:space="preserve"> Програми</w:t>
            </w:r>
          </w:p>
        </w:tc>
        <w:tc>
          <w:tcPr>
            <w:tcW w:w="6652" w:type="dxa"/>
            <w:gridSpan w:val="2"/>
            <w:tcBorders>
              <w:top w:val="single" w:sz="4" w:space="0" w:color="auto"/>
              <w:left w:val="single" w:sz="4" w:space="0" w:color="auto"/>
              <w:bottom w:val="single" w:sz="4" w:space="0" w:color="auto"/>
              <w:right w:val="single" w:sz="4" w:space="0" w:color="auto"/>
            </w:tcBorders>
            <w:hideMark/>
          </w:tcPr>
          <w:p w14:paraId="539BAEE3" w14:textId="61A89AF1" w:rsidR="00F1059A" w:rsidRDefault="003E4595"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 xml:space="preserve">Інститут майбутніх енергетичних та матеріальних </w:t>
            </w:r>
            <w:r w:rsidR="005E1561">
              <w:rPr>
                <w:rFonts w:ascii="Times New Roman" w:hAnsi="Times New Roman"/>
                <w:sz w:val="28"/>
                <w:szCs w:val="28"/>
                <w:lang w:val="uk-UA"/>
              </w:rPr>
              <w:t xml:space="preserve">             </w:t>
            </w:r>
            <w:r w:rsidRPr="00A6607D">
              <w:rPr>
                <w:rFonts w:ascii="Times New Roman" w:hAnsi="Times New Roman"/>
                <w:sz w:val="28"/>
                <w:szCs w:val="28"/>
                <w:lang w:val="uk-UA"/>
              </w:rPr>
              <w:t xml:space="preserve">систем </w:t>
            </w:r>
            <w:r w:rsidR="00F1059A" w:rsidRPr="00A6607D">
              <w:rPr>
                <w:rFonts w:ascii="Times New Roman" w:hAnsi="Times New Roman"/>
                <w:spacing w:val="-12"/>
                <w:sz w:val="28"/>
                <w:szCs w:val="28"/>
                <w:lang w:val="uk-UA"/>
              </w:rPr>
              <w:t xml:space="preserve"> </w:t>
            </w:r>
            <w:r w:rsidRPr="00A6607D">
              <w:rPr>
                <w:rFonts w:ascii="Times New Roman" w:hAnsi="Times New Roman"/>
                <w:sz w:val="28"/>
                <w:szCs w:val="28"/>
                <w:lang w:val="uk-UA"/>
              </w:rPr>
              <w:t>IZES gGmbH</w:t>
            </w:r>
            <w:r w:rsidRPr="00A6607D">
              <w:rPr>
                <w:rFonts w:ascii="Times New Roman" w:hAnsi="Times New Roman"/>
                <w:sz w:val="28"/>
                <w:szCs w:val="28"/>
              </w:rPr>
              <w:t xml:space="preserve"> </w:t>
            </w:r>
            <w:r w:rsidRPr="00A6607D">
              <w:rPr>
                <w:rFonts w:ascii="Times New Roman" w:hAnsi="Times New Roman"/>
                <w:sz w:val="28"/>
                <w:szCs w:val="28"/>
                <w:lang w:val="uk-UA"/>
              </w:rPr>
              <w:t xml:space="preserve"> </w:t>
            </w:r>
            <w:r w:rsidR="00F1059A" w:rsidRPr="00A6607D">
              <w:rPr>
                <w:rFonts w:ascii="Times New Roman" w:hAnsi="Times New Roman"/>
                <w:spacing w:val="-12"/>
                <w:sz w:val="28"/>
                <w:szCs w:val="28"/>
                <w:lang w:val="uk-UA"/>
              </w:rPr>
              <w:t>(</w:t>
            </w:r>
            <w:r w:rsidR="005E1561">
              <w:rPr>
                <w:rFonts w:ascii="Times New Roman" w:hAnsi="Times New Roman"/>
                <w:spacing w:val="-12"/>
                <w:sz w:val="28"/>
                <w:szCs w:val="28"/>
                <w:lang w:val="uk-UA"/>
              </w:rPr>
              <w:t>Німеччина</w:t>
            </w:r>
            <w:r w:rsidR="00F1059A" w:rsidRPr="00A6607D">
              <w:rPr>
                <w:rFonts w:ascii="Times New Roman" w:hAnsi="Times New Roman"/>
                <w:spacing w:val="-12"/>
                <w:sz w:val="28"/>
                <w:szCs w:val="28"/>
                <w:lang w:val="uk-UA"/>
              </w:rPr>
              <w:t>) - головний партнер;</w:t>
            </w:r>
          </w:p>
          <w:p w14:paraId="66D72910" w14:textId="6F729232" w:rsidR="005E1561" w:rsidRPr="005E1561" w:rsidRDefault="005E1561"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Відземський планувальний регіон</w:t>
            </w:r>
            <w:r w:rsidRPr="00A6607D">
              <w:rPr>
                <w:rFonts w:ascii="Times New Roman" w:hAnsi="Times New Roman"/>
                <w:spacing w:val="-12"/>
                <w:sz w:val="28"/>
                <w:szCs w:val="28"/>
                <w:lang w:val="uk-UA"/>
              </w:rPr>
              <w:t xml:space="preserve"> (Латвія);</w:t>
            </w:r>
          </w:p>
          <w:p w14:paraId="16911DBF" w14:textId="050C0B13" w:rsidR="00F1059A" w:rsidRPr="00A6607D" w:rsidRDefault="003E4595"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Маршалківський уряд Мазовецького воєводства у Варшаві</w:t>
            </w:r>
            <w:r w:rsidR="005E1561">
              <w:rPr>
                <w:rFonts w:ascii="Times New Roman" w:hAnsi="Times New Roman"/>
                <w:sz w:val="28"/>
                <w:szCs w:val="28"/>
                <w:lang w:val="uk-UA"/>
              </w:rPr>
              <w:t>/Мазовецьке воєводство</w:t>
            </w:r>
            <w:r w:rsidRPr="00A6607D">
              <w:rPr>
                <w:rFonts w:ascii="Times New Roman" w:hAnsi="Times New Roman"/>
                <w:sz w:val="28"/>
                <w:szCs w:val="28"/>
                <w:lang w:val="uk-UA"/>
              </w:rPr>
              <w:t xml:space="preserve"> </w:t>
            </w:r>
            <w:r w:rsidR="00F1059A" w:rsidRPr="00A6607D">
              <w:rPr>
                <w:rFonts w:ascii="Times New Roman" w:hAnsi="Times New Roman"/>
                <w:spacing w:val="-12"/>
                <w:sz w:val="28"/>
                <w:szCs w:val="28"/>
                <w:lang w:val="uk-UA"/>
              </w:rPr>
              <w:t>(</w:t>
            </w:r>
            <w:r w:rsidRPr="00A6607D">
              <w:rPr>
                <w:rFonts w:ascii="Times New Roman" w:hAnsi="Times New Roman"/>
                <w:spacing w:val="-12"/>
                <w:sz w:val="28"/>
                <w:szCs w:val="28"/>
                <w:lang w:val="uk-UA"/>
              </w:rPr>
              <w:t>Польща</w:t>
            </w:r>
            <w:r w:rsidR="00F1059A" w:rsidRPr="00A6607D">
              <w:rPr>
                <w:rFonts w:ascii="Times New Roman" w:hAnsi="Times New Roman"/>
                <w:spacing w:val="-12"/>
                <w:sz w:val="28"/>
                <w:szCs w:val="28"/>
                <w:lang w:val="uk-UA"/>
              </w:rPr>
              <w:t>)</w:t>
            </w:r>
            <w:r w:rsidR="00126135" w:rsidRPr="00A6607D">
              <w:rPr>
                <w:rFonts w:ascii="Times New Roman" w:hAnsi="Times New Roman"/>
                <w:spacing w:val="-12"/>
                <w:sz w:val="28"/>
                <w:szCs w:val="28"/>
                <w:lang w:val="uk-UA"/>
              </w:rPr>
              <w:t>;</w:t>
            </w:r>
          </w:p>
          <w:p w14:paraId="582EF5B6" w14:textId="6F9555AF" w:rsidR="00F1059A" w:rsidRPr="00A6607D" w:rsidRDefault="003E4595" w:rsidP="00CD0011">
            <w:pPr>
              <w:pStyle w:val="PreformattedText"/>
              <w:numPr>
                <w:ilvl w:val="0"/>
                <w:numId w:val="16"/>
              </w:numPr>
              <w:ind w:left="170"/>
              <w:jc w:val="both"/>
              <w:rPr>
                <w:rFonts w:ascii="Times New Roman" w:hAnsi="Times New Roman" w:cs="Times New Roman"/>
                <w:sz w:val="28"/>
                <w:szCs w:val="28"/>
                <w:lang w:val="uk-UA"/>
              </w:rPr>
            </w:pPr>
            <w:r w:rsidRPr="00A6607D">
              <w:rPr>
                <w:rFonts w:ascii="Times New Roman" w:hAnsi="Times New Roman" w:cs="Times New Roman"/>
                <w:sz w:val="28"/>
                <w:szCs w:val="28"/>
                <w:lang w:val="uk-UA"/>
              </w:rPr>
              <w:t>Регіон Західна Македонія</w:t>
            </w:r>
            <w:r w:rsidR="00126135" w:rsidRPr="00A6607D">
              <w:rPr>
                <w:rFonts w:ascii="Times New Roman" w:hAnsi="Times New Roman" w:cs="Times New Roman"/>
                <w:sz w:val="28"/>
                <w:szCs w:val="28"/>
                <w:lang w:val="uk-UA"/>
              </w:rPr>
              <w:t xml:space="preserve"> </w:t>
            </w:r>
            <w:r w:rsidR="00F1059A" w:rsidRPr="00A6607D">
              <w:rPr>
                <w:rFonts w:ascii="Times New Roman" w:hAnsi="Times New Roman" w:cs="Times New Roman"/>
                <w:spacing w:val="-12"/>
                <w:sz w:val="28"/>
                <w:szCs w:val="28"/>
                <w:lang w:val="uk-UA"/>
              </w:rPr>
              <w:t>(</w:t>
            </w:r>
            <w:r w:rsidRPr="00A6607D">
              <w:rPr>
                <w:rFonts w:ascii="Times New Roman" w:hAnsi="Times New Roman" w:cs="Times New Roman"/>
                <w:spacing w:val="-12"/>
                <w:sz w:val="28"/>
                <w:szCs w:val="28"/>
                <w:lang w:val="uk-UA"/>
              </w:rPr>
              <w:t>Грецька Республіка</w:t>
            </w:r>
            <w:r w:rsidR="00F1059A" w:rsidRPr="00A6607D">
              <w:rPr>
                <w:rFonts w:ascii="Times New Roman" w:hAnsi="Times New Roman" w:cs="Times New Roman"/>
                <w:spacing w:val="-12"/>
                <w:sz w:val="28"/>
                <w:szCs w:val="28"/>
                <w:lang w:val="uk-UA"/>
              </w:rPr>
              <w:t>)</w:t>
            </w:r>
            <w:r w:rsidR="00126135" w:rsidRPr="00A6607D">
              <w:rPr>
                <w:rFonts w:ascii="Times New Roman" w:hAnsi="Times New Roman" w:cs="Times New Roman"/>
                <w:spacing w:val="-12"/>
                <w:sz w:val="28"/>
                <w:szCs w:val="28"/>
                <w:lang w:val="uk-UA"/>
              </w:rPr>
              <w:t>;</w:t>
            </w:r>
          </w:p>
          <w:p w14:paraId="1C953258" w14:textId="47B32D13" w:rsidR="00F1059A" w:rsidRPr="00A6607D" w:rsidRDefault="003E4595" w:rsidP="00CD0011">
            <w:pPr>
              <w:pStyle w:val="PreformattedText"/>
              <w:numPr>
                <w:ilvl w:val="0"/>
                <w:numId w:val="16"/>
              </w:numPr>
              <w:ind w:left="170"/>
              <w:jc w:val="both"/>
              <w:rPr>
                <w:rFonts w:ascii="Times New Roman" w:hAnsi="Times New Roman" w:cs="Times New Roman"/>
                <w:sz w:val="28"/>
                <w:szCs w:val="28"/>
                <w:lang w:val="uk-UA"/>
              </w:rPr>
            </w:pPr>
            <w:r w:rsidRPr="00A6607D">
              <w:rPr>
                <w:rFonts w:ascii="Times New Roman" w:hAnsi="Times New Roman" w:cs="Times New Roman"/>
                <w:sz w:val="28"/>
                <w:szCs w:val="28"/>
                <w:lang w:val="uk-UA"/>
              </w:rPr>
              <w:t>Міжнародне товариство сонячної енергії, німецька секція, Регіональна асоціація Берлін-Бранденбург</w:t>
            </w:r>
            <w:r w:rsidR="00126135" w:rsidRPr="00A6607D">
              <w:rPr>
                <w:rFonts w:ascii="Times New Roman" w:hAnsi="Times New Roman" w:cs="Times New Roman"/>
                <w:sz w:val="28"/>
                <w:szCs w:val="28"/>
                <w:lang w:val="uk-UA"/>
              </w:rPr>
              <w:t xml:space="preserve"> </w:t>
            </w:r>
            <w:r w:rsidR="00F1059A" w:rsidRPr="00A6607D">
              <w:rPr>
                <w:rFonts w:ascii="Times New Roman" w:hAnsi="Times New Roman" w:cs="Times New Roman"/>
                <w:spacing w:val="-12"/>
                <w:sz w:val="28"/>
                <w:szCs w:val="28"/>
                <w:lang w:val="uk-UA"/>
              </w:rPr>
              <w:t>(</w:t>
            </w:r>
            <w:r w:rsidRPr="00A6607D">
              <w:rPr>
                <w:rFonts w:ascii="Times New Roman" w:hAnsi="Times New Roman" w:cs="Times New Roman"/>
                <w:spacing w:val="-12"/>
                <w:sz w:val="28"/>
                <w:szCs w:val="28"/>
                <w:lang w:val="uk-UA"/>
              </w:rPr>
              <w:t>Німеччина</w:t>
            </w:r>
            <w:r w:rsidR="00F1059A" w:rsidRPr="00A6607D">
              <w:rPr>
                <w:rFonts w:ascii="Times New Roman" w:hAnsi="Times New Roman" w:cs="Times New Roman"/>
                <w:spacing w:val="-12"/>
                <w:sz w:val="28"/>
                <w:szCs w:val="28"/>
                <w:lang w:val="uk-UA"/>
              </w:rPr>
              <w:t>)</w:t>
            </w:r>
            <w:r w:rsidR="00126135" w:rsidRPr="00A6607D">
              <w:rPr>
                <w:rFonts w:ascii="Times New Roman" w:hAnsi="Times New Roman" w:cs="Times New Roman"/>
                <w:spacing w:val="-12"/>
                <w:sz w:val="28"/>
                <w:szCs w:val="28"/>
                <w:lang w:val="uk-UA"/>
              </w:rPr>
              <w:t>;</w:t>
            </w:r>
          </w:p>
          <w:p w14:paraId="22B90AAD" w14:textId="2A2C72D1" w:rsidR="00F1059A" w:rsidRPr="00A6607D" w:rsidRDefault="003E4595"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Агентство з питань енергетики та навколишнього середовища Нижньої Австрії (eNu)</w:t>
            </w:r>
            <w:r w:rsidRPr="00A6607D">
              <w:rPr>
                <w:rFonts w:ascii="Times New Roman" w:hAnsi="Times New Roman"/>
                <w:spacing w:val="-12"/>
                <w:sz w:val="28"/>
                <w:szCs w:val="28"/>
                <w:lang w:val="uk-UA"/>
              </w:rPr>
              <w:t xml:space="preserve"> </w:t>
            </w:r>
            <w:r w:rsidR="00F1059A" w:rsidRPr="00A6607D">
              <w:rPr>
                <w:rFonts w:ascii="Times New Roman" w:hAnsi="Times New Roman"/>
                <w:spacing w:val="-12"/>
                <w:sz w:val="28"/>
                <w:szCs w:val="28"/>
                <w:lang w:val="uk-UA"/>
              </w:rPr>
              <w:t>(</w:t>
            </w:r>
            <w:r w:rsidRPr="00A6607D">
              <w:rPr>
                <w:rFonts w:ascii="Times New Roman" w:hAnsi="Times New Roman"/>
                <w:spacing w:val="-12"/>
                <w:sz w:val="28"/>
                <w:szCs w:val="28"/>
                <w:lang w:val="uk-UA"/>
              </w:rPr>
              <w:t>Австрія</w:t>
            </w:r>
            <w:r w:rsidR="00F1059A" w:rsidRPr="00A6607D">
              <w:rPr>
                <w:rFonts w:ascii="Times New Roman" w:hAnsi="Times New Roman"/>
                <w:spacing w:val="-12"/>
                <w:sz w:val="28"/>
                <w:szCs w:val="28"/>
                <w:lang w:val="uk-UA"/>
              </w:rPr>
              <w:t>)</w:t>
            </w:r>
            <w:r w:rsidR="00126135" w:rsidRPr="00A6607D">
              <w:rPr>
                <w:rFonts w:ascii="Times New Roman" w:hAnsi="Times New Roman"/>
                <w:spacing w:val="-12"/>
                <w:sz w:val="28"/>
                <w:szCs w:val="28"/>
                <w:lang w:val="uk-UA"/>
              </w:rPr>
              <w:t>;</w:t>
            </w:r>
          </w:p>
          <w:p w14:paraId="17195AE8" w14:textId="7F602325" w:rsidR="00126135" w:rsidRPr="00A6607D" w:rsidRDefault="003E4595" w:rsidP="00CD0011">
            <w:pPr>
              <w:pStyle w:val="PreformattedText"/>
              <w:numPr>
                <w:ilvl w:val="0"/>
                <w:numId w:val="16"/>
              </w:numPr>
              <w:ind w:left="170"/>
              <w:jc w:val="both"/>
              <w:rPr>
                <w:rFonts w:ascii="Times New Roman" w:hAnsi="Times New Roman" w:cs="Times New Roman"/>
                <w:spacing w:val="-12"/>
                <w:sz w:val="28"/>
                <w:szCs w:val="28"/>
                <w:lang w:val="uk-UA"/>
              </w:rPr>
            </w:pPr>
            <w:r w:rsidRPr="00A6607D">
              <w:rPr>
                <w:rFonts w:ascii="Times New Roman" w:hAnsi="Times New Roman" w:cs="Times New Roman"/>
                <w:sz w:val="28"/>
                <w:szCs w:val="28"/>
                <w:lang w:val="uk-UA"/>
              </w:rPr>
              <w:t xml:space="preserve">Місто Лакташі </w:t>
            </w:r>
            <w:r w:rsidR="00F1059A" w:rsidRPr="00A6607D">
              <w:rPr>
                <w:rFonts w:ascii="Times New Roman" w:hAnsi="Times New Roman" w:cs="Times New Roman"/>
                <w:spacing w:val="-12"/>
                <w:sz w:val="28"/>
                <w:szCs w:val="28"/>
                <w:lang w:val="uk-UA"/>
              </w:rPr>
              <w:t>(</w:t>
            </w:r>
            <w:r w:rsidRPr="00A6607D">
              <w:rPr>
                <w:rFonts w:ascii="Times New Roman" w:hAnsi="Times New Roman" w:cs="Times New Roman"/>
                <w:spacing w:val="-12"/>
                <w:sz w:val="28"/>
                <w:szCs w:val="28"/>
                <w:lang w:val="ru-RU"/>
              </w:rPr>
              <w:t>Республіка Сербська у складі Боснії та Герцеговини</w:t>
            </w:r>
            <w:r w:rsidR="00F1059A" w:rsidRPr="00A6607D">
              <w:rPr>
                <w:rFonts w:ascii="Times New Roman" w:hAnsi="Times New Roman" w:cs="Times New Roman"/>
                <w:spacing w:val="-12"/>
                <w:sz w:val="28"/>
                <w:szCs w:val="28"/>
                <w:lang w:val="uk-UA"/>
              </w:rPr>
              <w:t>)</w:t>
            </w:r>
            <w:r w:rsidR="00126135" w:rsidRPr="00A6607D">
              <w:rPr>
                <w:rFonts w:ascii="Times New Roman" w:hAnsi="Times New Roman" w:cs="Times New Roman"/>
                <w:spacing w:val="-12"/>
                <w:sz w:val="28"/>
                <w:szCs w:val="28"/>
                <w:lang w:val="uk-UA"/>
              </w:rPr>
              <w:t>;</w:t>
            </w:r>
          </w:p>
          <w:p w14:paraId="0939F754" w14:textId="3046618E" w:rsidR="00F1059A" w:rsidRPr="00A6607D" w:rsidRDefault="003E4595" w:rsidP="00CD0011">
            <w:pPr>
              <w:pStyle w:val="PreformattedText"/>
              <w:numPr>
                <w:ilvl w:val="0"/>
                <w:numId w:val="16"/>
              </w:numPr>
              <w:ind w:left="170"/>
              <w:jc w:val="both"/>
              <w:rPr>
                <w:rFonts w:ascii="Times New Roman" w:hAnsi="Times New Roman" w:cs="Times New Roman"/>
                <w:spacing w:val="-12"/>
                <w:sz w:val="28"/>
                <w:szCs w:val="28"/>
                <w:lang w:val="uk-UA"/>
              </w:rPr>
            </w:pPr>
            <w:r w:rsidRPr="00A6607D">
              <w:rPr>
                <w:rFonts w:ascii="Times New Roman" w:hAnsi="Times New Roman" w:cs="Times New Roman"/>
                <w:sz w:val="28"/>
                <w:szCs w:val="28"/>
                <w:lang w:val="uk-UA"/>
              </w:rPr>
              <w:t>Львівське комунальне підприємство «Львівсвітло», м.Львів, Україна.</w:t>
            </w:r>
          </w:p>
          <w:p w14:paraId="0FD2061E" w14:textId="77777777"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p>
        </w:tc>
      </w:tr>
      <w:tr w:rsidR="00126135" w:rsidRPr="00A6607D" w14:paraId="5CF932AC"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750C32A9"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Головний розпорядник коштів</w:t>
            </w:r>
          </w:p>
        </w:tc>
        <w:tc>
          <w:tcPr>
            <w:tcW w:w="6652" w:type="dxa"/>
            <w:gridSpan w:val="2"/>
            <w:tcBorders>
              <w:top w:val="single" w:sz="4" w:space="0" w:color="auto"/>
              <w:left w:val="single" w:sz="4" w:space="0" w:color="auto"/>
              <w:bottom w:val="single" w:sz="4" w:space="0" w:color="auto"/>
              <w:right w:val="single" w:sz="4" w:space="0" w:color="auto"/>
            </w:tcBorders>
            <w:hideMark/>
          </w:tcPr>
          <w:p w14:paraId="7000779A" w14:textId="19F7F0A1"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rPr>
              <w:t xml:space="preserve">Виконавчий комітет </w:t>
            </w:r>
            <w:r w:rsidR="003E4595" w:rsidRPr="00A6607D">
              <w:rPr>
                <w:rFonts w:cs="Times New Roman"/>
                <w:spacing w:val="-12"/>
                <w:sz w:val="28"/>
                <w:szCs w:val="28"/>
                <w:lang w:val="uk-UA"/>
              </w:rPr>
              <w:t>Дрогобицької</w:t>
            </w:r>
            <w:r w:rsidRPr="00A6607D">
              <w:rPr>
                <w:rFonts w:cs="Times New Roman"/>
                <w:spacing w:val="-12"/>
                <w:sz w:val="28"/>
                <w:szCs w:val="28"/>
                <w:lang w:val="uk-UA"/>
              </w:rPr>
              <w:t xml:space="preserve"> міської ради</w:t>
            </w:r>
          </w:p>
        </w:tc>
      </w:tr>
      <w:tr w:rsidR="00126135" w:rsidRPr="00A6607D" w14:paraId="0B02D6C9" w14:textId="77777777" w:rsidTr="00F1059A">
        <w:trPr>
          <w:trHeight w:val="163"/>
          <w:jc w:val="center"/>
        </w:trPr>
        <w:tc>
          <w:tcPr>
            <w:tcW w:w="2694"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5F19E7B2"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Термін реалізації</w:t>
            </w:r>
          </w:p>
        </w:tc>
        <w:tc>
          <w:tcPr>
            <w:tcW w:w="1413" w:type="dxa"/>
            <w:tcBorders>
              <w:top w:val="single" w:sz="4" w:space="0" w:color="auto"/>
              <w:left w:val="single" w:sz="4" w:space="0" w:color="auto"/>
              <w:bottom w:val="single" w:sz="4" w:space="0" w:color="auto"/>
              <w:right w:val="single" w:sz="4" w:space="0" w:color="auto"/>
            </w:tcBorders>
            <w:hideMark/>
          </w:tcPr>
          <w:p w14:paraId="7FDA7120" w14:textId="77777777" w:rsidR="00F1059A" w:rsidRPr="00A6607D" w:rsidRDefault="00F1059A" w:rsidP="00E1512D">
            <w:pPr>
              <w:tabs>
                <w:tab w:val="left" w:pos="521"/>
              </w:tabs>
              <w:autoSpaceDE w:val="0"/>
              <w:autoSpaceDN w:val="0"/>
              <w:adjustRightInd w:val="0"/>
              <w:ind w:left="-57" w:right="-57"/>
              <w:jc w:val="both"/>
              <w:rPr>
                <w:rFonts w:cs="Times New Roman"/>
                <w:iCs/>
                <w:spacing w:val="-12"/>
                <w:sz w:val="28"/>
                <w:szCs w:val="28"/>
                <w:lang w:val="uk-UA" w:eastAsia="en-US"/>
              </w:rPr>
            </w:pPr>
            <w:r w:rsidRPr="00A6607D">
              <w:rPr>
                <w:rFonts w:cs="Times New Roman"/>
                <w:iCs/>
                <w:spacing w:val="-12"/>
                <w:sz w:val="28"/>
                <w:szCs w:val="28"/>
                <w:lang w:val="uk-UA"/>
              </w:rPr>
              <w:t>початок</w:t>
            </w:r>
          </w:p>
        </w:tc>
        <w:tc>
          <w:tcPr>
            <w:tcW w:w="5239" w:type="dxa"/>
            <w:tcBorders>
              <w:top w:val="single" w:sz="4" w:space="0" w:color="auto"/>
              <w:left w:val="single" w:sz="4" w:space="0" w:color="auto"/>
              <w:bottom w:val="single" w:sz="4" w:space="0" w:color="auto"/>
              <w:right w:val="single" w:sz="4" w:space="0" w:color="auto"/>
            </w:tcBorders>
            <w:hideMark/>
          </w:tcPr>
          <w:p w14:paraId="7A32D42E" w14:textId="77777777"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bidi="uk-UA"/>
              </w:rPr>
              <w:t>–</w:t>
            </w:r>
            <w:r w:rsidRPr="00A6607D">
              <w:rPr>
                <w:rFonts w:cs="Times New Roman"/>
                <w:spacing w:val="-12"/>
                <w:sz w:val="28"/>
                <w:szCs w:val="28"/>
                <w:lang w:val="uk-UA" w:eastAsia="uk-UA"/>
              </w:rPr>
              <w:t> </w:t>
            </w:r>
            <w:r w:rsidRPr="00A6607D">
              <w:rPr>
                <w:rFonts w:cs="Times New Roman"/>
                <w:spacing w:val="-12"/>
                <w:sz w:val="28"/>
                <w:szCs w:val="28"/>
                <w:lang w:val="uk-UA"/>
              </w:rPr>
              <w:t>01 травня 2025 року</w:t>
            </w:r>
          </w:p>
        </w:tc>
      </w:tr>
      <w:tr w:rsidR="00126135" w:rsidRPr="00A6607D" w14:paraId="0AEB54A5" w14:textId="77777777" w:rsidTr="00F1059A">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68A0E" w14:textId="77777777" w:rsidR="00F1059A" w:rsidRPr="00A6607D" w:rsidRDefault="00F1059A" w:rsidP="00E1512D">
            <w:pPr>
              <w:widowControl/>
              <w:suppressAutoHyphens w:val="0"/>
              <w:rPr>
                <w:rFonts w:cs="Times New Roman"/>
                <w:bCs/>
                <w:spacing w:val="-12"/>
                <w:sz w:val="28"/>
                <w:szCs w:val="28"/>
                <w:lang w:val="uk-UA" w:eastAsia="en-US"/>
              </w:rPr>
            </w:pPr>
          </w:p>
        </w:tc>
        <w:tc>
          <w:tcPr>
            <w:tcW w:w="1413" w:type="dxa"/>
            <w:tcBorders>
              <w:top w:val="single" w:sz="4" w:space="0" w:color="auto"/>
              <w:left w:val="single" w:sz="4" w:space="0" w:color="auto"/>
              <w:bottom w:val="single" w:sz="4" w:space="0" w:color="auto"/>
              <w:right w:val="single" w:sz="4" w:space="0" w:color="auto"/>
            </w:tcBorders>
            <w:hideMark/>
          </w:tcPr>
          <w:p w14:paraId="3B1AF4EE" w14:textId="77777777" w:rsidR="00F1059A" w:rsidRPr="00A6607D" w:rsidRDefault="00F1059A" w:rsidP="00E1512D">
            <w:pPr>
              <w:tabs>
                <w:tab w:val="left" w:pos="521"/>
              </w:tabs>
              <w:autoSpaceDE w:val="0"/>
              <w:autoSpaceDN w:val="0"/>
              <w:adjustRightInd w:val="0"/>
              <w:ind w:left="-57" w:right="-57"/>
              <w:jc w:val="both"/>
              <w:rPr>
                <w:rFonts w:cs="Times New Roman"/>
                <w:iCs/>
                <w:spacing w:val="-12"/>
                <w:sz w:val="28"/>
                <w:szCs w:val="28"/>
                <w:lang w:val="uk-UA" w:eastAsia="en-US"/>
              </w:rPr>
            </w:pPr>
            <w:r w:rsidRPr="00A6607D">
              <w:rPr>
                <w:rFonts w:cs="Times New Roman"/>
                <w:iCs/>
                <w:spacing w:val="-12"/>
                <w:sz w:val="28"/>
                <w:szCs w:val="28"/>
                <w:lang w:val="uk-UA"/>
              </w:rPr>
              <w:t>закінчення</w:t>
            </w:r>
          </w:p>
        </w:tc>
        <w:tc>
          <w:tcPr>
            <w:tcW w:w="5239" w:type="dxa"/>
            <w:tcBorders>
              <w:top w:val="single" w:sz="4" w:space="0" w:color="auto"/>
              <w:left w:val="single" w:sz="4" w:space="0" w:color="auto"/>
              <w:bottom w:val="single" w:sz="4" w:space="0" w:color="auto"/>
              <w:right w:val="single" w:sz="4" w:space="0" w:color="auto"/>
            </w:tcBorders>
            <w:hideMark/>
          </w:tcPr>
          <w:p w14:paraId="143330FF" w14:textId="77777777"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bidi="uk-UA"/>
              </w:rPr>
              <w:t>–</w:t>
            </w:r>
            <w:r w:rsidRPr="00A6607D">
              <w:rPr>
                <w:rFonts w:cs="Times New Roman"/>
                <w:spacing w:val="-12"/>
                <w:sz w:val="28"/>
                <w:szCs w:val="28"/>
                <w:lang w:val="uk-UA" w:eastAsia="uk-UA"/>
              </w:rPr>
              <w:t> 31 липня 2029 року</w:t>
            </w:r>
          </w:p>
        </w:tc>
      </w:tr>
      <w:tr w:rsidR="00126135" w:rsidRPr="005E1561" w14:paraId="48B1A7D3" w14:textId="77777777" w:rsidTr="000D71C4">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011B05A7"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Загальний обсяг фінансових ресурсів та джерела фінансування</w:t>
            </w:r>
          </w:p>
        </w:tc>
        <w:tc>
          <w:tcPr>
            <w:tcW w:w="66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B484A1" w14:textId="2CF702CF" w:rsidR="004A7F10" w:rsidRPr="00A6607D" w:rsidRDefault="004A7F10" w:rsidP="00E1512D">
            <w:pPr>
              <w:numPr>
                <w:ilvl w:val="0"/>
                <w:numId w:val="1"/>
              </w:numPr>
              <w:tabs>
                <w:tab w:val="num" w:pos="117"/>
                <w:tab w:val="left" w:pos="317"/>
              </w:tabs>
              <w:suppressAutoHyphens w:val="0"/>
              <w:autoSpaceDE w:val="0"/>
              <w:autoSpaceDN w:val="0"/>
              <w:adjustRightInd w:val="0"/>
              <w:ind w:left="-25" w:right="-57" w:firstLine="142"/>
              <w:jc w:val="both"/>
              <w:rPr>
                <w:rFonts w:cs="Times New Roman"/>
                <w:spacing w:val="-12"/>
                <w:sz w:val="28"/>
                <w:szCs w:val="28"/>
                <w:lang w:val="uk-UA" w:eastAsia="en-US"/>
              </w:rPr>
            </w:pPr>
            <w:r w:rsidRPr="00A6607D">
              <w:rPr>
                <w:rFonts w:cs="Times New Roman"/>
                <w:spacing w:val="-12"/>
                <w:sz w:val="28"/>
                <w:szCs w:val="28"/>
                <w:lang w:val="uk-UA"/>
              </w:rPr>
              <w:t xml:space="preserve"> </w:t>
            </w:r>
            <w:r w:rsidR="00F1059A" w:rsidRPr="00A6607D">
              <w:rPr>
                <w:rFonts w:cs="Times New Roman"/>
                <w:spacing w:val="-12"/>
                <w:sz w:val="28"/>
                <w:szCs w:val="28"/>
                <w:lang w:val="uk-UA"/>
              </w:rPr>
              <w:t xml:space="preserve">Кошти бюджету </w:t>
            </w:r>
            <w:r w:rsidR="00B224ED">
              <w:rPr>
                <w:rFonts w:cs="Times New Roman"/>
                <w:spacing w:val="-12"/>
                <w:sz w:val="28"/>
                <w:szCs w:val="28"/>
                <w:lang w:val="uk-UA"/>
              </w:rPr>
              <w:t xml:space="preserve">Дрогобицької </w:t>
            </w:r>
            <w:r w:rsidR="00F1059A" w:rsidRPr="00A6607D">
              <w:rPr>
                <w:rFonts w:cs="Times New Roman"/>
                <w:spacing w:val="-12"/>
                <w:sz w:val="28"/>
                <w:szCs w:val="28"/>
                <w:lang w:val="uk-UA"/>
              </w:rPr>
              <w:t xml:space="preserve">міської  територіальної громади в рамках </w:t>
            </w:r>
            <w:r w:rsidRPr="00A6607D">
              <w:rPr>
                <w:rFonts w:cs="Times New Roman"/>
                <w:spacing w:val="-12"/>
                <w:sz w:val="28"/>
                <w:szCs w:val="28"/>
                <w:lang w:val="uk-UA"/>
              </w:rPr>
              <w:t xml:space="preserve">виконання </w:t>
            </w:r>
            <w:r w:rsidR="00F1059A" w:rsidRPr="00A6607D">
              <w:rPr>
                <w:rFonts w:cs="Times New Roman"/>
                <w:spacing w:val="-12"/>
                <w:sz w:val="28"/>
                <w:szCs w:val="28"/>
                <w:lang w:val="uk-UA"/>
              </w:rPr>
              <w:t>проєкту</w:t>
            </w:r>
            <w:r w:rsidR="00B224ED">
              <w:rPr>
                <w:rFonts w:cs="Times New Roman"/>
                <w:spacing w:val="-12"/>
                <w:sz w:val="28"/>
                <w:szCs w:val="28"/>
                <w:lang w:val="uk-UA"/>
              </w:rPr>
              <w:t xml:space="preserve"> </w:t>
            </w:r>
            <w:r w:rsidR="00F1059A" w:rsidRPr="00A6607D">
              <w:rPr>
                <w:rFonts w:cs="Times New Roman"/>
                <w:spacing w:val="-12"/>
                <w:sz w:val="28"/>
                <w:szCs w:val="28"/>
                <w:lang w:val="uk-UA"/>
              </w:rPr>
              <w:t xml:space="preserve"> </w:t>
            </w:r>
            <w:r w:rsidR="00D32B54" w:rsidRPr="00A6607D">
              <w:rPr>
                <w:rFonts w:cs="Times New Roman"/>
                <w:sz w:val="28"/>
                <w:szCs w:val="28"/>
                <w:lang w:val="uk-UA"/>
              </w:rPr>
              <w:t>BiodivErSe</w:t>
            </w:r>
            <w:r w:rsidR="00D32B54" w:rsidRPr="00A6607D">
              <w:rPr>
                <w:rFonts w:cs="Times New Roman"/>
                <w:spacing w:val="-12"/>
                <w:sz w:val="28"/>
                <w:szCs w:val="28"/>
                <w:lang w:val="uk-UA"/>
              </w:rPr>
              <w:t xml:space="preserve"> </w:t>
            </w:r>
            <w:r w:rsidR="00D32B54">
              <w:rPr>
                <w:rFonts w:cs="Times New Roman"/>
                <w:spacing w:val="-12"/>
                <w:sz w:val="28"/>
                <w:szCs w:val="28"/>
                <w:lang w:val="uk-UA"/>
              </w:rPr>
              <w:t xml:space="preserve">програми </w:t>
            </w:r>
            <w:r w:rsidR="00F1059A" w:rsidRPr="00A6607D">
              <w:rPr>
                <w:rFonts w:cs="Times New Roman"/>
                <w:spacing w:val="-12"/>
                <w:sz w:val="28"/>
                <w:szCs w:val="28"/>
                <w:lang w:val="uk-UA"/>
              </w:rPr>
              <w:t xml:space="preserve">INTERREG - </w:t>
            </w:r>
            <w:r w:rsidR="00934EDC" w:rsidRPr="00A6607D">
              <w:rPr>
                <w:rFonts w:cs="Times New Roman"/>
                <w:spacing w:val="-12"/>
                <w:sz w:val="28"/>
                <w:szCs w:val="28"/>
                <w:lang w:val="uk-UA" w:eastAsia="en-US"/>
              </w:rPr>
              <w:t>9801</w:t>
            </w:r>
            <w:r w:rsidRPr="00A6607D">
              <w:rPr>
                <w:rFonts w:cs="Times New Roman"/>
                <w:spacing w:val="-12"/>
                <w:sz w:val="28"/>
                <w:szCs w:val="28"/>
                <w:lang w:val="uk-UA" w:eastAsia="en-US"/>
              </w:rPr>
              <w:t>,</w:t>
            </w:r>
            <w:r w:rsidR="00934EDC" w:rsidRPr="00A6607D">
              <w:rPr>
                <w:rFonts w:cs="Times New Roman"/>
                <w:spacing w:val="-12"/>
                <w:sz w:val="28"/>
                <w:szCs w:val="28"/>
                <w:lang w:val="uk-UA" w:eastAsia="en-US"/>
              </w:rPr>
              <w:t>6</w:t>
            </w:r>
            <w:r w:rsidRPr="00A6607D">
              <w:rPr>
                <w:rFonts w:cs="Times New Roman"/>
                <w:spacing w:val="-12"/>
                <w:sz w:val="28"/>
                <w:szCs w:val="28"/>
                <w:lang w:val="uk-UA" w:eastAsia="en-US"/>
              </w:rPr>
              <w:t>0 Євро</w:t>
            </w:r>
            <w:r w:rsidR="005678D8" w:rsidRPr="00A6607D">
              <w:rPr>
                <w:rFonts w:cs="Times New Roman"/>
                <w:spacing w:val="-12"/>
                <w:sz w:val="28"/>
                <w:szCs w:val="28"/>
                <w:lang w:val="uk-UA" w:eastAsia="en-US"/>
              </w:rPr>
              <w:t xml:space="preserve">. </w:t>
            </w:r>
          </w:p>
          <w:p w14:paraId="61FD2CEF" w14:textId="214E73A6" w:rsidR="00F1059A" w:rsidRPr="002217E4" w:rsidRDefault="006C3BEB" w:rsidP="006C3BEB">
            <w:pPr>
              <w:numPr>
                <w:ilvl w:val="0"/>
                <w:numId w:val="1"/>
              </w:numPr>
              <w:tabs>
                <w:tab w:val="clear" w:pos="3903"/>
                <w:tab w:val="num" w:pos="117"/>
                <w:tab w:val="left" w:pos="317"/>
              </w:tabs>
              <w:suppressAutoHyphens w:val="0"/>
              <w:autoSpaceDE w:val="0"/>
              <w:autoSpaceDN w:val="0"/>
              <w:adjustRightInd w:val="0"/>
              <w:spacing w:line="216" w:lineRule="auto"/>
              <w:ind w:left="-25" w:right="-57" w:firstLine="142"/>
              <w:jc w:val="both"/>
              <w:rPr>
                <w:rFonts w:cs="Times New Roman"/>
                <w:spacing w:val="-12"/>
                <w:sz w:val="28"/>
                <w:szCs w:val="28"/>
                <w:lang w:val="uk-UA"/>
              </w:rPr>
            </w:pPr>
            <w:r w:rsidRPr="00A6607D">
              <w:rPr>
                <w:rFonts w:cs="Times New Roman"/>
                <w:spacing w:val="-12"/>
                <w:sz w:val="28"/>
                <w:szCs w:val="28"/>
                <w:lang w:val="uk-UA" w:eastAsia="en-US"/>
              </w:rPr>
              <w:t xml:space="preserve"> Кошти, що після підтвердження витрат, відшкодуються  Європейським Союзом  через Програму  </w:t>
            </w:r>
            <w:r w:rsidRPr="00A6607D">
              <w:rPr>
                <w:rFonts w:cs="Times New Roman"/>
                <w:spacing w:val="-12"/>
                <w:sz w:val="28"/>
                <w:szCs w:val="28"/>
                <w:lang w:val="uk-UA"/>
              </w:rPr>
              <w:t xml:space="preserve">INTERREG Europe </w:t>
            </w:r>
            <w:r w:rsidRPr="00A6607D">
              <w:rPr>
                <w:rFonts w:cs="Times New Roman"/>
                <w:spacing w:val="-12"/>
                <w:sz w:val="28"/>
                <w:szCs w:val="28"/>
                <w:lang w:val="uk-UA"/>
              </w:rPr>
              <w:lastRenderedPageBreak/>
              <w:t xml:space="preserve">- </w:t>
            </w:r>
            <w:r w:rsidR="00934EDC" w:rsidRPr="00A6607D">
              <w:rPr>
                <w:rFonts w:cs="Times New Roman"/>
                <w:spacing w:val="-12"/>
                <w:sz w:val="28"/>
                <w:szCs w:val="28"/>
                <w:lang w:val="uk-UA"/>
              </w:rPr>
              <w:t xml:space="preserve">39 206,40 </w:t>
            </w:r>
            <w:r w:rsidR="00B224ED">
              <w:rPr>
                <w:rFonts w:cs="Times New Roman"/>
                <w:spacing w:val="-12"/>
                <w:sz w:val="28"/>
                <w:szCs w:val="28"/>
                <w:lang w:val="uk-UA"/>
              </w:rPr>
              <w:t>Є</w:t>
            </w:r>
            <w:r w:rsidR="002217E4">
              <w:rPr>
                <w:rFonts w:cs="Times New Roman"/>
                <w:spacing w:val="-12"/>
                <w:sz w:val="28"/>
                <w:szCs w:val="28"/>
                <w:lang w:val="uk-UA"/>
              </w:rPr>
              <w:t>вр</w:t>
            </w:r>
            <w:r w:rsidR="00B224ED">
              <w:rPr>
                <w:rFonts w:cs="Times New Roman"/>
                <w:spacing w:val="-12"/>
                <w:sz w:val="28"/>
                <w:szCs w:val="28"/>
                <w:lang w:val="uk-UA"/>
              </w:rPr>
              <w:t>о.</w:t>
            </w:r>
          </w:p>
        </w:tc>
      </w:tr>
    </w:tbl>
    <w:p w14:paraId="6976C397" w14:textId="1A549058" w:rsidR="000E063F" w:rsidRDefault="00120C42" w:rsidP="002217E4">
      <w:pPr>
        <w:pStyle w:val="a6"/>
        <w:numPr>
          <w:ilvl w:val="1"/>
          <w:numId w:val="1"/>
        </w:numPr>
        <w:jc w:val="center"/>
        <w:rPr>
          <w:rFonts w:ascii="Times New Roman" w:hAnsi="Times New Roman" w:cs="Times New Roman"/>
          <w:b/>
          <w:spacing w:val="-12"/>
          <w:sz w:val="28"/>
          <w:szCs w:val="28"/>
          <w:lang w:val="uk-UA" w:eastAsia="uk-UA"/>
        </w:rPr>
      </w:pPr>
      <w:r w:rsidRPr="00A6607D">
        <w:rPr>
          <w:rFonts w:ascii="Times New Roman" w:hAnsi="Times New Roman" w:cs="Times New Roman"/>
          <w:b/>
          <w:spacing w:val="-12"/>
          <w:sz w:val="28"/>
          <w:szCs w:val="28"/>
          <w:lang w:val="uk-UA" w:eastAsia="uk-UA"/>
        </w:rPr>
        <w:lastRenderedPageBreak/>
        <w:t>Загальні положення.</w:t>
      </w:r>
    </w:p>
    <w:p w14:paraId="4C1839E2" w14:textId="77777777" w:rsidR="009D472D" w:rsidRPr="00A6607D" w:rsidRDefault="009D472D" w:rsidP="009D472D">
      <w:pPr>
        <w:pStyle w:val="a6"/>
        <w:ind w:left="1440"/>
        <w:rPr>
          <w:rFonts w:ascii="Times New Roman" w:hAnsi="Times New Roman" w:cs="Times New Roman"/>
          <w:b/>
          <w:spacing w:val="-12"/>
          <w:sz w:val="28"/>
          <w:szCs w:val="28"/>
          <w:lang w:val="uk-UA" w:eastAsia="uk-UA"/>
        </w:rPr>
      </w:pPr>
    </w:p>
    <w:p w14:paraId="0C3A5D03" w14:textId="7ACE7BA6" w:rsidR="00172239" w:rsidRPr="00A6607D" w:rsidRDefault="008C01A6" w:rsidP="00362509">
      <w:pPr>
        <w:pStyle w:val="11"/>
        <w:spacing w:after="0"/>
        <w:ind w:firstLine="500"/>
        <w:jc w:val="both"/>
        <w:rPr>
          <w:sz w:val="28"/>
          <w:szCs w:val="28"/>
          <w:lang w:eastAsia="uk-UA" w:bidi="uk-UA"/>
        </w:rPr>
      </w:pPr>
      <w:r w:rsidRPr="00D32B54">
        <w:rPr>
          <w:color w:val="000000" w:themeColor="text1"/>
          <w:sz w:val="28"/>
          <w:szCs w:val="28"/>
          <w:lang w:eastAsia="uk-UA" w:bidi="uk-UA"/>
        </w:rPr>
        <w:t>В 2024 році</w:t>
      </w:r>
      <w:r w:rsidR="00172239" w:rsidRPr="00D32B54">
        <w:rPr>
          <w:color w:val="000000" w:themeColor="text1"/>
          <w:sz w:val="28"/>
          <w:szCs w:val="28"/>
          <w:lang w:eastAsia="uk-UA" w:bidi="uk-UA"/>
        </w:rPr>
        <w:t xml:space="preserve"> </w:t>
      </w:r>
      <w:r w:rsidR="00ED381E" w:rsidRPr="00D32B54">
        <w:rPr>
          <w:color w:val="000000" w:themeColor="text1"/>
          <w:sz w:val="28"/>
          <w:szCs w:val="28"/>
          <w:lang w:eastAsia="uk-UA" w:bidi="uk-UA"/>
        </w:rPr>
        <w:t xml:space="preserve">Виконавчий комітет </w:t>
      </w:r>
      <w:r w:rsidR="00934EDC" w:rsidRPr="00D32B54">
        <w:rPr>
          <w:color w:val="000000" w:themeColor="text1"/>
          <w:sz w:val="28"/>
          <w:szCs w:val="28"/>
          <w:lang w:eastAsia="uk-UA" w:bidi="uk-UA"/>
        </w:rPr>
        <w:t>Дрогобицької</w:t>
      </w:r>
      <w:r w:rsidR="003C544B" w:rsidRPr="00D32B54">
        <w:rPr>
          <w:color w:val="000000" w:themeColor="text1"/>
          <w:sz w:val="28"/>
          <w:szCs w:val="28"/>
          <w:lang w:eastAsia="uk-UA" w:bidi="uk-UA"/>
        </w:rPr>
        <w:t xml:space="preserve"> міськ</w:t>
      </w:r>
      <w:r w:rsidR="00ED381E" w:rsidRPr="00D32B54">
        <w:rPr>
          <w:color w:val="000000" w:themeColor="text1"/>
          <w:sz w:val="28"/>
          <w:szCs w:val="28"/>
          <w:lang w:eastAsia="uk-UA" w:bidi="uk-UA"/>
        </w:rPr>
        <w:t>ої</w:t>
      </w:r>
      <w:r w:rsidR="003C544B" w:rsidRPr="00D32B54">
        <w:rPr>
          <w:color w:val="000000" w:themeColor="text1"/>
          <w:sz w:val="28"/>
          <w:szCs w:val="28"/>
          <w:lang w:eastAsia="uk-UA" w:bidi="uk-UA"/>
        </w:rPr>
        <w:t xml:space="preserve"> рад</w:t>
      </w:r>
      <w:r w:rsidR="00ED381E" w:rsidRPr="00D32B54">
        <w:rPr>
          <w:color w:val="000000" w:themeColor="text1"/>
          <w:sz w:val="28"/>
          <w:szCs w:val="28"/>
          <w:lang w:eastAsia="uk-UA" w:bidi="uk-UA"/>
        </w:rPr>
        <w:t>и</w:t>
      </w:r>
      <w:r w:rsidR="003C544B" w:rsidRPr="00D32B54">
        <w:rPr>
          <w:color w:val="000000" w:themeColor="text1"/>
          <w:sz w:val="28"/>
          <w:szCs w:val="28"/>
          <w:lang w:eastAsia="uk-UA" w:bidi="uk-UA"/>
        </w:rPr>
        <w:t xml:space="preserve"> б</w:t>
      </w:r>
      <w:r w:rsidR="00172239" w:rsidRPr="00D32B54">
        <w:rPr>
          <w:color w:val="000000" w:themeColor="text1"/>
          <w:sz w:val="28"/>
          <w:szCs w:val="28"/>
          <w:lang w:eastAsia="uk-UA" w:bidi="uk-UA"/>
        </w:rPr>
        <w:t>у</w:t>
      </w:r>
      <w:r w:rsidR="00ED381E" w:rsidRPr="00D32B54">
        <w:rPr>
          <w:color w:val="000000" w:themeColor="text1"/>
          <w:sz w:val="28"/>
          <w:szCs w:val="28"/>
          <w:lang w:eastAsia="uk-UA" w:bidi="uk-UA"/>
        </w:rPr>
        <w:t>в</w:t>
      </w:r>
      <w:r w:rsidR="00172239" w:rsidRPr="00D32B54">
        <w:rPr>
          <w:color w:val="000000" w:themeColor="text1"/>
          <w:sz w:val="28"/>
          <w:szCs w:val="28"/>
          <w:lang w:eastAsia="uk-UA" w:bidi="uk-UA"/>
        </w:rPr>
        <w:t xml:space="preserve"> зареєстрован</w:t>
      </w:r>
      <w:r w:rsidR="00ED381E" w:rsidRPr="00D32B54">
        <w:rPr>
          <w:color w:val="000000" w:themeColor="text1"/>
          <w:sz w:val="28"/>
          <w:szCs w:val="28"/>
          <w:lang w:eastAsia="uk-UA" w:bidi="uk-UA"/>
        </w:rPr>
        <w:t>ий</w:t>
      </w:r>
      <w:r w:rsidR="00172239" w:rsidRPr="00D32B54">
        <w:rPr>
          <w:color w:val="000000" w:themeColor="text1"/>
          <w:sz w:val="28"/>
          <w:szCs w:val="28"/>
          <w:lang w:eastAsia="uk-UA" w:bidi="uk-UA"/>
        </w:rPr>
        <w:t xml:space="preserve"> на платформі транскордонного співробітництва </w:t>
      </w:r>
      <w:r w:rsidR="00172239" w:rsidRPr="00D32B54">
        <w:rPr>
          <w:color w:val="000000" w:themeColor="text1"/>
          <w:spacing w:val="-12"/>
          <w:sz w:val="28"/>
          <w:szCs w:val="28"/>
        </w:rPr>
        <w:t>INTERREG</w:t>
      </w:r>
      <w:r w:rsidR="00172239" w:rsidRPr="00891C81">
        <w:rPr>
          <w:color w:val="FF0000"/>
          <w:spacing w:val="-12"/>
          <w:sz w:val="28"/>
          <w:szCs w:val="28"/>
        </w:rPr>
        <w:t xml:space="preserve"> </w:t>
      </w:r>
      <w:r w:rsidR="00172239" w:rsidRPr="00A6607D">
        <w:rPr>
          <w:sz w:val="28"/>
          <w:szCs w:val="28"/>
          <w:lang w:eastAsia="uk-UA" w:bidi="uk-UA"/>
        </w:rPr>
        <w:t>та невдовзі отрима</w:t>
      </w:r>
      <w:r w:rsidR="00CC248D" w:rsidRPr="00A6607D">
        <w:rPr>
          <w:sz w:val="28"/>
          <w:szCs w:val="28"/>
          <w:lang w:eastAsia="uk-UA" w:bidi="uk-UA"/>
        </w:rPr>
        <w:t>в</w:t>
      </w:r>
      <w:r w:rsidR="00D32B54">
        <w:rPr>
          <w:sz w:val="28"/>
          <w:szCs w:val="28"/>
          <w:lang w:eastAsia="uk-UA" w:bidi="uk-UA"/>
        </w:rPr>
        <w:t xml:space="preserve"> пропозицію про участь в проє</w:t>
      </w:r>
      <w:r w:rsidR="00172239" w:rsidRPr="00A6607D">
        <w:rPr>
          <w:sz w:val="28"/>
          <w:szCs w:val="28"/>
          <w:lang w:eastAsia="uk-UA" w:bidi="uk-UA"/>
        </w:rPr>
        <w:t xml:space="preserve">кті  </w:t>
      </w:r>
      <w:r w:rsidR="00172239" w:rsidRPr="002217E4">
        <w:rPr>
          <w:b/>
          <w:bCs/>
          <w:iCs/>
          <w:sz w:val="28"/>
          <w:szCs w:val="28"/>
          <w:lang w:eastAsia="ar-SA"/>
        </w:rPr>
        <w:t>«</w:t>
      </w:r>
      <w:r w:rsidR="00CC248D" w:rsidRPr="00A6607D">
        <w:rPr>
          <w:sz w:val="28"/>
          <w:szCs w:val="28"/>
        </w:rPr>
        <w:t>BiodivErSe – Прискорення розвитку багатофункціональних інноваційних фотоелектричних енергетичних систем шляхом оцінки біорізноманіття</w:t>
      </w:r>
      <w:r w:rsidR="00172239" w:rsidRPr="002217E4">
        <w:rPr>
          <w:b/>
          <w:sz w:val="28"/>
          <w:szCs w:val="28"/>
          <w:lang w:eastAsia="ar-SA"/>
        </w:rPr>
        <w:t>»</w:t>
      </w:r>
      <w:r w:rsidR="00172239" w:rsidRPr="00A6607D">
        <w:rPr>
          <w:sz w:val="28"/>
          <w:szCs w:val="28"/>
          <w:lang w:eastAsia="uk-UA" w:bidi="uk-UA"/>
        </w:rPr>
        <w:t xml:space="preserve">. </w:t>
      </w:r>
      <w:r w:rsidR="00172239" w:rsidRPr="00D32B54">
        <w:rPr>
          <w:color w:val="000000" w:themeColor="text1"/>
          <w:sz w:val="28"/>
          <w:szCs w:val="28"/>
          <w:lang w:eastAsia="uk-UA" w:bidi="uk-UA"/>
        </w:rPr>
        <w:t>Про</w:t>
      </w:r>
      <w:r w:rsidR="00D32B54">
        <w:rPr>
          <w:color w:val="000000" w:themeColor="text1"/>
          <w:sz w:val="28"/>
          <w:szCs w:val="28"/>
          <w:lang w:eastAsia="uk-UA" w:bidi="uk-UA"/>
        </w:rPr>
        <w:t>є</w:t>
      </w:r>
      <w:r w:rsidR="00172239" w:rsidRPr="00D32B54">
        <w:rPr>
          <w:color w:val="000000" w:themeColor="text1"/>
          <w:sz w:val="28"/>
          <w:szCs w:val="28"/>
          <w:lang w:eastAsia="uk-UA" w:bidi="uk-UA"/>
        </w:rPr>
        <w:t xml:space="preserve">кт подано </w:t>
      </w:r>
      <w:r w:rsidR="003C544B" w:rsidRPr="00D32B54">
        <w:rPr>
          <w:color w:val="000000" w:themeColor="text1"/>
          <w:sz w:val="28"/>
          <w:szCs w:val="28"/>
          <w:lang w:eastAsia="uk-UA" w:bidi="uk-UA"/>
        </w:rPr>
        <w:t xml:space="preserve">спільно </w:t>
      </w:r>
      <w:r w:rsidR="00480522" w:rsidRPr="00D32B54">
        <w:rPr>
          <w:color w:val="000000" w:themeColor="text1"/>
          <w:sz w:val="28"/>
          <w:szCs w:val="28"/>
          <w:lang w:eastAsia="uk-UA" w:bidi="uk-UA"/>
        </w:rPr>
        <w:t>з 7 європейсь</w:t>
      </w:r>
      <w:r w:rsidR="00B57A7F">
        <w:rPr>
          <w:color w:val="000000" w:themeColor="text1"/>
          <w:sz w:val="28"/>
          <w:szCs w:val="28"/>
          <w:lang w:eastAsia="uk-UA" w:bidi="uk-UA"/>
        </w:rPr>
        <w:t>кими</w:t>
      </w:r>
      <w:r w:rsidR="00480522" w:rsidRPr="00D32B54">
        <w:rPr>
          <w:color w:val="000000" w:themeColor="text1"/>
          <w:sz w:val="28"/>
          <w:szCs w:val="28"/>
          <w:lang w:eastAsia="uk-UA" w:bidi="uk-UA"/>
        </w:rPr>
        <w:t xml:space="preserve"> країнами</w:t>
      </w:r>
      <w:r w:rsidR="00172239" w:rsidRPr="00D32B54">
        <w:rPr>
          <w:color w:val="000000" w:themeColor="text1"/>
          <w:sz w:val="28"/>
          <w:szCs w:val="28"/>
          <w:lang w:eastAsia="uk-UA" w:bidi="uk-UA"/>
        </w:rPr>
        <w:t xml:space="preserve">. </w:t>
      </w:r>
      <w:r w:rsidR="00CC248D" w:rsidRPr="00A6607D">
        <w:rPr>
          <w:sz w:val="28"/>
          <w:szCs w:val="28"/>
          <w:lang w:eastAsia="uk-UA" w:bidi="uk-UA"/>
        </w:rPr>
        <w:t>У 2025 році</w:t>
      </w:r>
      <w:r w:rsidR="00172239" w:rsidRPr="00A6607D">
        <w:rPr>
          <w:sz w:val="28"/>
          <w:szCs w:val="28"/>
          <w:lang w:eastAsia="uk-UA" w:bidi="uk-UA"/>
        </w:rPr>
        <w:t xml:space="preserve"> </w:t>
      </w:r>
      <w:r w:rsidR="00CC248D" w:rsidRPr="00A6607D">
        <w:rPr>
          <w:sz w:val="28"/>
          <w:szCs w:val="28"/>
          <w:lang w:eastAsia="uk-UA" w:bidi="uk-UA"/>
        </w:rPr>
        <w:t xml:space="preserve">Виконавчий комітет Дрогобицької міської ради </w:t>
      </w:r>
      <w:r w:rsidR="00172239" w:rsidRPr="00A6607D">
        <w:rPr>
          <w:sz w:val="28"/>
          <w:szCs w:val="28"/>
          <w:lang w:eastAsia="uk-UA" w:bidi="uk-UA"/>
        </w:rPr>
        <w:t xml:space="preserve">вперше став учасником програми </w:t>
      </w:r>
      <w:r w:rsidR="00172239" w:rsidRPr="00A6607D">
        <w:rPr>
          <w:sz w:val="28"/>
          <w:szCs w:val="28"/>
          <w:lang w:val="ru-RU" w:eastAsia="uk-UA" w:bidi="uk-UA"/>
        </w:rPr>
        <w:t>INTERREG</w:t>
      </w:r>
      <w:r w:rsidR="00172239" w:rsidRPr="002217E4">
        <w:rPr>
          <w:sz w:val="28"/>
          <w:szCs w:val="28"/>
          <w:lang w:eastAsia="uk-UA" w:bidi="uk-UA"/>
        </w:rPr>
        <w:t xml:space="preserve"> </w:t>
      </w:r>
      <w:r w:rsidR="00172239" w:rsidRPr="00A6607D">
        <w:rPr>
          <w:sz w:val="28"/>
          <w:szCs w:val="28"/>
          <w:lang w:val="ru-RU" w:eastAsia="uk-UA" w:bidi="uk-UA"/>
        </w:rPr>
        <w:t>Europe</w:t>
      </w:r>
      <w:r w:rsidR="00172239" w:rsidRPr="00A6607D">
        <w:rPr>
          <w:sz w:val="28"/>
          <w:szCs w:val="28"/>
          <w:lang w:eastAsia="uk-UA" w:bidi="uk-UA"/>
        </w:rPr>
        <w:t xml:space="preserve"> із </w:t>
      </w:r>
      <w:bookmarkStart w:id="2" w:name="_Hlk215670547"/>
      <w:r w:rsidR="00172239" w:rsidRPr="00A6607D">
        <w:rPr>
          <w:sz w:val="28"/>
          <w:szCs w:val="28"/>
          <w:lang w:eastAsia="uk-UA" w:bidi="uk-UA"/>
        </w:rPr>
        <w:t>про</w:t>
      </w:r>
      <w:r w:rsidR="00D32B54">
        <w:rPr>
          <w:sz w:val="28"/>
          <w:szCs w:val="28"/>
          <w:lang w:eastAsia="uk-UA" w:bidi="uk-UA"/>
        </w:rPr>
        <w:t>є</w:t>
      </w:r>
      <w:r w:rsidR="00172239" w:rsidRPr="00A6607D">
        <w:rPr>
          <w:sz w:val="28"/>
          <w:szCs w:val="28"/>
          <w:lang w:eastAsia="uk-UA" w:bidi="uk-UA"/>
        </w:rPr>
        <w:t>ктом</w:t>
      </w:r>
      <w:r w:rsidR="00891848" w:rsidRPr="00A6607D">
        <w:rPr>
          <w:sz w:val="28"/>
          <w:szCs w:val="28"/>
          <w:lang w:eastAsia="uk-UA" w:bidi="uk-UA"/>
        </w:rPr>
        <w:t xml:space="preserve"> </w:t>
      </w:r>
      <w:r w:rsidR="00891848" w:rsidRPr="002217E4">
        <w:rPr>
          <w:b/>
          <w:bCs/>
          <w:iCs/>
          <w:sz w:val="28"/>
          <w:szCs w:val="28"/>
          <w:lang w:eastAsia="ar-SA"/>
        </w:rPr>
        <w:t>«</w:t>
      </w:r>
      <w:r w:rsidR="00934EDC" w:rsidRPr="00A6607D">
        <w:rPr>
          <w:sz w:val="28"/>
          <w:szCs w:val="28"/>
        </w:rPr>
        <w:t>BiodivErSe – Прискорення розвитку багатофункціональних інноваційних фотоелектричних енергетичних систем шляхом оцінки біорізноманіття</w:t>
      </w:r>
      <w:r w:rsidR="00891848" w:rsidRPr="002217E4">
        <w:rPr>
          <w:b/>
          <w:sz w:val="28"/>
          <w:szCs w:val="28"/>
          <w:lang w:eastAsia="ar-SA"/>
        </w:rPr>
        <w:t>»</w:t>
      </w:r>
      <w:bookmarkEnd w:id="2"/>
      <w:r w:rsidR="00891848" w:rsidRPr="00A6607D">
        <w:rPr>
          <w:sz w:val="28"/>
          <w:szCs w:val="28"/>
          <w:lang w:eastAsia="uk-UA" w:bidi="uk-UA"/>
        </w:rPr>
        <w:t>.</w:t>
      </w:r>
    </w:p>
    <w:p w14:paraId="360EF7CF" w14:textId="77777777" w:rsidR="00891848" w:rsidRPr="00A6607D" w:rsidRDefault="00891848" w:rsidP="00362509">
      <w:pPr>
        <w:pStyle w:val="11"/>
        <w:spacing w:after="0"/>
        <w:ind w:firstLine="500"/>
        <w:jc w:val="both"/>
        <w:rPr>
          <w:sz w:val="28"/>
          <w:szCs w:val="28"/>
          <w:lang w:eastAsia="uk-UA" w:bidi="uk-UA"/>
        </w:rPr>
      </w:pPr>
    </w:p>
    <w:p w14:paraId="5F371D58" w14:textId="7D1F733C" w:rsidR="000D71C4" w:rsidRPr="00A6607D" w:rsidRDefault="00D32B54" w:rsidP="00362509">
      <w:pPr>
        <w:ind w:firstLine="500"/>
        <w:jc w:val="both"/>
        <w:rPr>
          <w:rFonts w:cs="Times New Roman"/>
          <w:sz w:val="28"/>
          <w:szCs w:val="28"/>
          <w:lang w:val="uk-UA" w:eastAsia="uk-UA" w:bidi="uk-UA"/>
        </w:rPr>
      </w:pPr>
      <w:r>
        <w:rPr>
          <w:rFonts w:cs="Times New Roman"/>
          <w:sz w:val="28"/>
          <w:szCs w:val="28"/>
          <w:lang w:val="uk-UA" w:eastAsia="uk-UA" w:bidi="uk-UA"/>
        </w:rPr>
        <w:t>У</w:t>
      </w:r>
      <w:r w:rsidR="00172239" w:rsidRPr="002217E4">
        <w:rPr>
          <w:rFonts w:cs="Times New Roman"/>
          <w:sz w:val="28"/>
          <w:szCs w:val="28"/>
          <w:lang w:val="uk-UA" w:eastAsia="uk-UA" w:bidi="uk-UA"/>
        </w:rPr>
        <w:t xml:space="preserve"> </w:t>
      </w:r>
      <w:r>
        <w:rPr>
          <w:rFonts w:cs="Times New Roman"/>
          <w:sz w:val="28"/>
          <w:szCs w:val="28"/>
          <w:lang w:val="uk-UA" w:eastAsia="uk-UA" w:bidi="uk-UA"/>
        </w:rPr>
        <w:t>червні</w:t>
      </w:r>
      <w:r w:rsidR="00934EDC" w:rsidRPr="00A6607D">
        <w:rPr>
          <w:rFonts w:cs="Times New Roman"/>
          <w:sz w:val="28"/>
          <w:szCs w:val="28"/>
          <w:lang w:val="uk-UA" w:eastAsia="uk-UA" w:bidi="uk-UA"/>
        </w:rPr>
        <w:t xml:space="preserve"> </w:t>
      </w:r>
      <w:r w:rsidR="00172239" w:rsidRPr="002217E4">
        <w:rPr>
          <w:rFonts w:cs="Times New Roman"/>
          <w:sz w:val="28"/>
          <w:szCs w:val="28"/>
          <w:lang w:val="uk-UA" w:eastAsia="uk-UA" w:bidi="uk-UA"/>
        </w:rPr>
        <w:t>2025 року  було підписано угоду про партнерство та договір про надання субвенції для</w:t>
      </w:r>
      <w:r w:rsidR="00172239" w:rsidRPr="00362509">
        <w:rPr>
          <w:rFonts w:cs="Times New Roman"/>
          <w:color w:val="000000" w:themeColor="text1"/>
          <w:sz w:val="28"/>
          <w:szCs w:val="28"/>
          <w:lang w:val="uk-UA" w:eastAsia="uk-UA" w:bidi="uk-UA"/>
        </w:rPr>
        <w:t xml:space="preserve"> реалізації про</w:t>
      </w:r>
      <w:r>
        <w:rPr>
          <w:rFonts w:cs="Times New Roman"/>
          <w:color w:val="000000" w:themeColor="text1"/>
          <w:sz w:val="28"/>
          <w:szCs w:val="28"/>
          <w:lang w:val="uk-UA" w:eastAsia="uk-UA" w:bidi="uk-UA"/>
        </w:rPr>
        <w:t>є</w:t>
      </w:r>
      <w:r w:rsidR="00172239" w:rsidRPr="00362509">
        <w:rPr>
          <w:rFonts w:cs="Times New Roman"/>
          <w:color w:val="000000" w:themeColor="text1"/>
          <w:sz w:val="28"/>
          <w:szCs w:val="28"/>
          <w:lang w:val="uk-UA" w:eastAsia="uk-UA" w:bidi="uk-UA"/>
        </w:rPr>
        <w:t>кту</w:t>
      </w:r>
      <w:r w:rsidR="00480522" w:rsidRPr="00362509">
        <w:rPr>
          <w:rFonts w:cs="Times New Roman"/>
          <w:color w:val="000000" w:themeColor="text1"/>
          <w:sz w:val="28"/>
          <w:szCs w:val="28"/>
          <w:lang w:val="uk-UA" w:eastAsia="uk-UA" w:bidi="uk-UA"/>
        </w:rPr>
        <w:t xml:space="preserve"> </w:t>
      </w:r>
      <w:r w:rsidR="00362509" w:rsidRPr="00362509">
        <w:rPr>
          <w:rFonts w:cs="Times New Roman"/>
          <w:b/>
          <w:bCs/>
          <w:color w:val="000000" w:themeColor="text1"/>
          <w:sz w:val="28"/>
          <w:szCs w:val="28"/>
          <w:lang w:val="uk-UA"/>
        </w:rPr>
        <w:t>03</w:t>
      </w:r>
      <w:r w:rsidR="00362509" w:rsidRPr="00362509">
        <w:rPr>
          <w:rFonts w:cs="Times New Roman"/>
          <w:b/>
          <w:bCs/>
          <w:color w:val="000000" w:themeColor="text1"/>
          <w:sz w:val="28"/>
          <w:szCs w:val="28"/>
        </w:rPr>
        <w:t>C</w:t>
      </w:r>
      <w:r w:rsidR="00362509" w:rsidRPr="00362509">
        <w:rPr>
          <w:rFonts w:cs="Times New Roman"/>
          <w:b/>
          <w:bCs/>
          <w:color w:val="000000" w:themeColor="text1"/>
          <w:sz w:val="28"/>
          <w:szCs w:val="28"/>
          <w:lang w:val="uk-UA"/>
        </w:rPr>
        <w:t>0895</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pt-PT" w:eastAsia="uk-UA" w:bidi="uk-UA"/>
        </w:rPr>
        <w:t>–</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uk-UA" w:eastAsia="uk-UA" w:bidi="uk-UA"/>
        </w:rPr>
        <w:t>«</w:t>
      </w:r>
      <w:r w:rsidR="00362509" w:rsidRPr="00362509">
        <w:rPr>
          <w:rFonts w:cs="Times New Roman"/>
          <w:color w:val="000000" w:themeColor="text1"/>
          <w:sz w:val="28"/>
          <w:szCs w:val="28"/>
          <w:lang w:val="uk-UA"/>
        </w:rPr>
        <w:t>BiodivErSe</w:t>
      </w:r>
      <w:r w:rsidR="00362509" w:rsidRPr="00362509">
        <w:rPr>
          <w:rFonts w:eastAsia="Times New Roman" w:cs="Times New Roman"/>
          <w:b/>
          <w:bCs/>
          <w:color w:val="000000" w:themeColor="text1"/>
          <w:kern w:val="0"/>
          <w:sz w:val="28"/>
          <w:szCs w:val="28"/>
          <w:lang w:val="uk-UA" w:eastAsia="uk-UA" w:bidi="uk-UA"/>
        </w:rPr>
        <w:t>»</w:t>
      </w:r>
      <w:r w:rsidR="003C544B" w:rsidRPr="00362509">
        <w:rPr>
          <w:rFonts w:eastAsia="Times New Roman" w:cs="Times New Roman"/>
          <w:b/>
          <w:bCs/>
          <w:color w:val="000000" w:themeColor="text1"/>
          <w:kern w:val="0"/>
          <w:sz w:val="28"/>
          <w:szCs w:val="28"/>
          <w:lang w:val="pt-PT" w:eastAsia="uk-UA" w:bidi="uk-UA"/>
        </w:rPr>
        <w:t>,</w:t>
      </w:r>
      <w:bookmarkStart w:id="3" w:name="OLE_LINK5"/>
      <w:bookmarkEnd w:id="3"/>
      <w:r w:rsidR="00362509">
        <w:rPr>
          <w:rFonts w:eastAsia="Times New Roman" w:cs="Times New Roman"/>
          <w:b/>
          <w:bCs/>
          <w:color w:val="000000" w:themeColor="text1"/>
          <w:kern w:val="0"/>
          <w:sz w:val="28"/>
          <w:szCs w:val="28"/>
          <w:lang w:val="uk-UA" w:eastAsia="uk-UA" w:bidi="uk-UA"/>
        </w:rPr>
        <w:t xml:space="preserve"> </w:t>
      </w:r>
      <w:r w:rsidR="003C544B" w:rsidRPr="00A6607D">
        <w:rPr>
          <w:rFonts w:eastAsia="Times New Roman" w:cs="Times New Roman"/>
          <w:kern w:val="0"/>
          <w:sz w:val="28"/>
          <w:szCs w:val="28"/>
          <w:lang w:val="pt-PT" w:eastAsia="uk-UA" w:bidi="uk-UA"/>
        </w:rPr>
        <w:t>затверджен</w:t>
      </w:r>
      <w:r w:rsidR="003C544B" w:rsidRPr="002217E4">
        <w:rPr>
          <w:rFonts w:cs="Times New Roman"/>
          <w:sz w:val="28"/>
          <w:szCs w:val="28"/>
          <w:lang w:val="uk-UA" w:eastAsia="uk-UA" w:bidi="uk-UA"/>
        </w:rPr>
        <w:t>и</w:t>
      </w:r>
      <w:r w:rsidR="003C544B" w:rsidRPr="00A6607D">
        <w:rPr>
          <w:rFonts w:eastAsia="Times New Roman" w:cs="Times New Roman"/>
          <w:kern w:val="0"/>
          <w:sz w:val="28"/>
          <w:szCs w:val="28"/>
          <w:lang w:val="pt-PT" w:eastAsia="uk-UA" w:bidi="uk-UA"/>
        </w:rPr>
        <w:t xml:space="preserve">й Моніторинговим комітетом програми Interreg Europe </w:t>
      </w:r>
      <w:r w:rsidR="00934EDC" w:rsidRPr="00A6607D">
        <w:rPr>
          <w:rFonts w:cs="Times New Roman"/>
          <w:sz w:val="28"/>
          <w:szCs w:val="28"/>
          <w:lang w:val="uk-UA"/>
        </w:rPr>
        <w:t xml:space="preserve">14 березня 2025 </w:t>
      </w:r>
      <w:r w:rsidR="003C544B" w:rsidRPr="002217E4">
        <w:rPr>
          <w:rFonts w:cs="Times New Roman"/>
          <w:sz w:val="28"/>
          <w:szCs w:val="28"/>
          <w:lang w:val="uk-UA" w:eastAsia="uk-UA" w:bidi="uk-UA"/>
        </w:rPr>
        <w:t xml:space="preserve">року. </w:t>
      </w:r>
    </w:p>
    <w:p w14:paraId="1D822FA4" w14:textId="77777777" w:rsidR="00DD483F" w:rsidRPr="00A6607D" w:rsidRDefault="00DD483F" w:rsidP="00362509">
      <w:pPr>
        <w:jc w:val="both"/>
        <w:rPr>
          <w:rFonts w:cs="Times New Roman"/>
          <w:sz w:val="28"/>
          <w:szCs w:val="28"/>
          <w:lang w:val="uk-UA"/>
        </w:rPr>
      </w:pPr>
    </w:p>
    <w:p w14:paraId="196BE25E" w14:textId="7EB011C9" w:rsidR="000D71C4" w:rsidRPr="00A6607D" w:rsidRDefault="000D71C4" w:rsidP="00362509">
      <w:pPr>
        <w:ind w:firstLine="567"/>
        <w:jc w:val="both"/>
        <w:rPr>
          <w:rFonts w:cs="Times New Roman"/>
          <w:sz w:val="28"/>
          <w:szCs w:val="28"/>
        </w:rPr>
      </w:pPr>
      <w:r w:rsidRPr="00A6607D">
        <w:rPr>
          <w:rFonts w:cs="Times New Roman"/>
          <w:sz w:val="28"/>
          <w:szCs w:val="28"/>
        </w:rPr>
        <w:t>На основі угоди про співпрацю між урядом Саарланду та Львівською областю</w:t>
      </w:r>
      <w:r w:rsidR="00EA6B03">
        <w:rPr>
          <w:rFonts w:cs="Times New Roman"/>
          <w:sz w:val="28"/>
          <w:szCs w:val="28"/>
          <w:lang w:val="uk-UA"/>
        </w:rPr>
        <w:t xml:space="preserve"> укладеною від 8.11.2023 ро</w:t>
      </w:r>
      <w:r w:rsidR="00D5435E">
        <w:rPr>
          <w:rFonts w:cs="Times New Roman"/>
          <w:sz w:val="28"/>
          <w:szCs w:val="28"/>
          <w:lang w:val="uk-UA"/>
        </w:rPr>
        <w:t>ці</w:t>
      </w:r>
      <w:r w:rsidR="00EA6B03">
        <w:rPr>
          <w:rFonts w:cs="Times New Roman"/>
          <w:sz w:val="28"/>
          <w:szCs w:val="28"/>
          <w:lang w:val="uk-UA"/>
        </w:rPr>
        <w:t xml:space="preserve"> </w:t>
      </w:r>
      <w:r w:rsidRPr="00A6607D">
        <w:rPr>
          <w:rFonts w:cs="Times New Roman"/>
          <w:sz w:val="28"/>
          <w:szCs w:val="28"/>
        </w:rPr>
        <w:t>тема енергетичного переходу є політичним предметом для процесів навчання між регіонами. Сонячна енергія — це крок до енергетичної незалежності Дрогобицької громади, і ми робимо все можливе для розвитку цього напрямку. Завдяки своїм потужностям, досвіду та готовності покращувати використання ВДЕ та адаптацію до змін клімату, підвищувати обізнаність населення щодо ВДЕ, Дрогобич прагне робити внесок у досягнення цілей новими проєктами. Участь у проєкті буде надзвичайно корисною для нашої громади.</w:t>
      </w:r>
    </w:p>
    <w:p w14:paraId="7745911E" w14:textId="572E6573" w:rsidR="00B81464" w:rsidRPr="00A6607D" w:rsidRDefault="000D71C4" w:rsidP="00362509">
      <w:pPr>
        <w:ind w:firstLine="567"/>
        <w:jc w:val="both"/>
        <w:rPr>
          <w:rFonts w:cs="Times New Roman"/>
          <w:sz w:val="28"/>
          <w:szCs w:val="28"/>
          <w:lang w:eastAsia="uk-UA" w:bidi="uk-UA"/>
        </w:rPr>
      </w:pPr>
      <w:r w:rsidRPr="006064AC">
        <w:rPr>
          <w:rFonts w:cs="Times New Roman"/>
          <w:color w:val="000000" w:themeColor="text1"/>
          <w:sz w:val="28"/>
          <w:szCs w:val="28"/>
        </w:rPr>
        <w:t xml:space="preserve">Як асоційований партнер, </w:t>
      </w:r>
      <w:r w:rsidR="005436F8">
        <w:rPr>
          <w:rFonts w:cs="Times New Roman"/>
          <w:color w:val="000000" w:themeColor="text1"/>
          <w:sz w:val="28"/>
          <w:szCs w:val="28"/>
          <w:lang w:val="uk-UA"/>
        </w:rPr>
        <w:t xml:space="preserve">під час реалізації цього </w:t>
      </w:r>
      <w:proofErr w:type="gramStart"/>
      <w:r w:rsidR="005436F8">
        <w:rPr>
          <w:rFonts w:cs="Times New Roman"/>
          <w:color w:val="000000" w:themeColor="text1"/>
          <w:sz w:val="28"/>
          <w:szCs w:val="28"/>
          <w:lang w:val="uk-UA"/>
        </w:rPr>
        <w:t>проє</w:t>
      </w:r>
      <w:r w:rsidR="00CC248D" w:rsidRPr="006064AC">
        <w:rPr>
          <w:rFonts w:cs="Times New Roman"/>
          <w:color w:val="000000" w:themeColor="text1"/>
          <w:sz w:val="28"/>
          <w:szCs w:val="28"/>
          <w:lang w:val="uk-UA"/>
        </w:rPr>
        <w:t>кту ,</w:t>
      </w:r>
      <w:proofErr w:type="gramEnd"/>
      <w:r w:rsidR="00CC248D" w:rsidRPr="006064AC">
        <w:rPr>
          <w:rFonts w:cs="Times New Roman"/>
          <w:color w:val="000000" w:themeColor="text1"/>
          <w:sz w:val="28"/>
          <w:szCs w:val="28"/>
          <w:lang w:val="uk-UA"/>
        </w:rPr>
        <w:t xml:space="preserve"> </w:t>
      </w:r>
      <w:r w:rsidRPr="006064AC">
        <w:rPr>
          <w:rFonts w:cs="Times New Roman"/>
          <w:color w:val="000000" w:themeColor="text1"/>
          <w:sz w:val="28"/>
          <w:szCs w:val="28"/>
        </w:rPr>
        <w:t xml:space="preserve">ми отримаємо користь від експертизи </w:t>
      </w:r>
      <w:r w:rsidRPr="00A6607D">
        <w:rPr>
          <w:rFonts w:cs="Times New Roman"/>
          <w:sz w:val="28"/>
          <w:szCs w:val="28"/>
        </w:rPr>
        <w:t xml:space="preserve">як навчальний регіон у рамках ширшого процесу інтеграції в програми ЄС. Дрогобич планує брати участь у більшості цифрових зустрічей, а також у вибраних очних заходах. Ми долучаємося до генерації знань (Сем.1-3), підвищення та передачі знань (Сем.1-5), а також до адаптації політичних інструментів (Сем.5-6), надаючи інформаційні внески щодо існуючих регіональних політичних інструментів та прикладів доброї і поганої практики. </w:t>
      </w:r>
      <w:r w:rsidRPr="00EE4B7E">
        <w:rPr>
          <w:rFonts w:cs="Times New Roman"/>
          <w:color w:val="000000" w:themeColor="text1"/>
          <w:sz w:val="28"/>
          <w:szCs w:val="28"/>
        </w:rPr>
        <w:t xml:space="preserve">Ми прагнемо включити знання до методології на основі досвіду нашого регіону, </w:t>
      </w:r>
      <w:r w:rsidRPr="00A6607D">
        <w:rPr>
          <w:rFonts w:cs="Times New Roman"/>
          <w:sz w:val="28"/>
          <w:szCs w:val="28"/>
        </w:rPr>
        <w:t>ознайомитися з критеріями, зокрема щодо питань охорони природи, щоб прискорити процедури, стандартизувати їх та підготувати до цифровізації в процедурах затвердження. Спільна організація цифрових засідань керівного комітету проєкту та лідерство також входить до планів нашої участі у проекті.</w:t>
      </w:r>
    </w:p>
    <w:p w14:paraId="670A7C58" w14:textId="77777777" w:rsidR="000D71C4" w:rsidRPr="00A6607D" w:rsidRDefault="000D71C4" w:rsidP="00E1512D">
      <w:pPr>
        <w:ind w:firstLine="567"/>
        <w:jc w:val="both"/>
        <w:rPr>
          <w:rFonts w:cs="Times New Roman"/>
          <w:sz w:val="20"/>
          <w:szCs w:val="20"/>
          <w:lang w:val="uk-UA"/>
        </w:rPr>
      </w:pPr>
    </w:p>
    <w:p w14:paraId="70A8A589" w14:textId="15D5659C" w:rsidR="002C286A" w:rsidRPr="00A6607D" w:rsidRDefault="002C286A" w:rsidP="00E1512D">
      <w:pPr>
        <w:ind w:firstLine="567"/>
        <w:jc w:val="both"/>
        <w:rPr>
          <w:rFonts w:eastAsia="Times New Roman" w:cs="Times New Roman"/>
          <w:spacing w:val="-12"/>
          <w:kern w:val="0"/>
          <w:sz w:val="28"/>
          <w:szCs w:val="28"/>
          <w:lang w:val="uk-UA" w:eastAsia="ru-RU" w:bidi="uk-UA"/>
        </w:rPr>
      </w:pPr>
      <w:r w:rsidRPr="00A6607D">
        <w:rPr>
          <w:rFonts w:eastAsia="Times New Roman" w:cs="Times New Roman"/>
          <w:spacing w:val="-12"/>
          <w:kern w:val="0"/>
          <w:sz w:val="28"/>
          <w:szCs w:val="28"/>
          <w:lang w:eastAsia="ru-RU" w:bidi="ar-SA"/>
        </w:rPr>
        <w:t>Строк реалізації Програми</w:t>
      </w:r>
      <w:r w:rsidRPr="00A6607D">
        <w:rPr>
          <w:rFonts w:eastAsia="Times New Roman" w:cs="Times New Roman"/>
          <w:spacing w:val="-12"/>
          <w:kern w:val="0"/>
          <w:sz w:val="28"/>
          <w:szCs w:val="28"/>
          <w:lang w:val="uk-UA" w:eastAsia="ru-RU" w:bidi="uk-UA"/>
        </w:rPr>
        <w:t xml:space="preserve"> становить </w:t>
      </w:r>
      <w:r w:rsidRPr="00A6607D">
        <w:rPr>
          <w:rFonts w:eastAsia="Times New Roman" w:cs="Times New Roman"/>
          <w:spacing w:val="-12"/>
          <w:kern w:val="0"/>
          <w:sz w:val="28"/>
          <w:szCs w:val="28"/>
          <w:lang w:eastAsia="ru-RU" w:bidi="ar-SA"/>
        </w:rPr>
        <w:t>51 місяц</w:t>
      </w:r>
      <w:r w:rsidR="006064AC">
        <w:rPr>
          <w:rFonts w:eastAsia="Times New Roman" w:cs="Times New Roman"/>
          <w:spacing w:val="-12"/>
          <w:kern w:val="0"/>
          <w:sz w:val="28"/>
          <w:szCs w:val="28"/>
          <w:lang w:val="uk-UA" w:eastAsia="ru-RU" w:bidi="ar-SA"/>
        </w:rPr>
        <w:t>ь</w:t>
      </w:r>
      <w:r w:rsidRPr="00A6607D">
        <w:rPr>
          <w:rFonts w:eastAsia="Times New Roman" w:cs="Times New Roman"/>
          <w:spacing w:val="-12"/>
          <w:kern w:val="0"/>
          <w:sz w:val="28"/>
          <w:szCs w:val="28"/>
          <w:lang w:val="uk-UA" w:eastAsia="ru-RU" w:bidi="uk-UA"/>
        </w:rPr>
        <w:t>, а саме о</w:t>
      </w:r>
      <w:r w:rsidRPr="00A6607D">
        <w:rPr>
          <w:rFonts w:eastAsia="Times New Roman" w:cs="Times New Roman"/>
          <w:spacing w:val="-12"/>
          <w:kern w:val="0"/>
          <w:sz w:val="28"/>
          <w:szCs w:val="28"/>
          <w:lang w:eastAsia="ru-RU" w:bidi="ar-SA"/>
        </w:rPr>
        <w:t>сновна фаз</w:t>
      </w:r>
      <w:r w:rsidRPr="00A6607D">
        <w:rPr>
          <w:rFonts w:eastAsia="Times New Roman" w:cs="Times New Roman"/>
          <w:spacing w:val="-12"/>
          <w:kern w:val="0"/>
          <w:sz w:val="28"/>
          <w:szCs w:val="28"/>
          <w:lang w:val="uk-UA" w:eastAsia="ru-RU" w:bidi="uk-UA"/>
        </w:rPr>
        <w:t>а -</w:t>
      </w:r>
      <w:r w:rsidRPr="00A6607D">
        <w:rPr>
          <w:rFonts w:eastAsia="Times New Roman" w:cs="Times New Roman"/>
          <w:spacing w:val="-12"/>
          <w:kern w:val="0"/>
          <w:sz w:val="28"/>
          <w:szCs w:val="28"/>
          <w:lang w:eastAsia="ru-RU" w:bidi="ar-SA"/>
        </w:rPr>
        <w:t xml:space="preserve"> 36 місяців</w:t>
      </w:r>
      <w:r w:rsidRPr="00A6607D">
        <w:rPr>
          <w:rFonts w:eastAsia="Times New Roman" w:cs="Times New Roman"/>
          <w:spacing w:val="-12"/>
          <w:kern w:val="0"/>
          <w:sz w:val="28"/>
          <w:szCs w:val="28"/>
          <w:lang w:val="uk-UA" w:eastAsia="ru-RU" w:bidi="uk-UA"/>
        </w:rPr>
        <w:t>, ф</w:t>
      </w:r>
      <w:r w:rsidRPr="00A6607D">
        <w:rPr>
          <w:rFonts w:eastAsia="Times New Roman" w:cs="Times New Roman"/>
          <w:spacing w:val="-12"/>
          <w:kern w:val="0"/>
          <w:sz w:val="28"/>
          <w:szCs w:val="28"/>
          <w:lang w:eastAsia="ru-RU" w:bidi="ar-SA"/>
        </w:rPr>
        <w:t xml:space="preserve">аза </w:t>
      </w:r>
      <w:proofErr w:type="gramStart"/>
      <w:r w:rsidRPr="00A6607D">
        <w:rPr>
          <w:rFonts w:eastAsia="Times New Roman" w:cs="Times New Roman"/>
          <w:spacing w:val="-12"/>
          <w:kern w:val="0"/>
          <w:sz w:val="28"/>
          <w:szCs w:val="28"/>
          <w:lang w:eastAsia="ru-RU" w:bidi="ar-SA"/>
        </w:rPr>
        <w:t>підтримки</w:t>
      </w:r>
      <w:r w:rsidRPr="00A6607D">
        <w:rPr>
          <w:rFonts w:eastAsia="Times New Roman" w:cs="Times New Roman"/>
          <w:spacing w:val="-12"/>
          <w:kern w:val="0"/>
          <w:sz w:val="28"/>
          <w:szCs w:val="28"/>
          <w:lang w:val="uk-UA" w:eastAsia="ru-RU" w:bidi="uk-UA"/>
        </w:rPr>
        <w:t xml:space="preserve"> </w:t>
      </w:r>
      <w:r w:rsidRPr="00A6607D">
        <w:rPr>
          <w:rFonts w:eastAsia="Times New Roman" w:cs="Times New Roman"/>
          <w:spacing w:val="-12"/>
          <w:kern w:val="0"/>
          <w:sz w:val="28"/>
          <w:szCs w:val="28"/>
          <w:lang w:eastAsia="ru-RU" w:bidi="ar-SA"/>
        </w:rPr>
        <w:t xml:space="preserve"> 12</w:t>
      </w:r>
      <w:proofErr w:type="gramEnd"/>
      <w:r w:rsidRPr="00A6607D">
        <w:rPr>
          <w:rFonts w:eastAsia="Times New Roman" w:cs="Times New Roman"/>
          <w:spacing w:val="-12"/>
          <w:kern w:val="0"/>
          <w:sz w:val="28"/>
          <w:szCs w:val="28"/>
          <w:lang w:eastAsia="ru-RU" w:bidi="ar-SA"/>
        </w:rPr>
        <w:t xml:space="preserve"> місяців</w:t>
      </w:r>
      <w:r w:rsidRPr="00A6607D">
        <w:rPr>
          <w:rFonts w:eastAsia="Times New Roman" w:cs="Times New Roman"/>
          <w:spacing w:val="-12"/>
          <w:kern w:val="0"/>
          <w:sz w:val="28"/>
          <w:szCs w:val="28"/>
          <w:lang w:val="uk-UA" w:eastAsia="ru-RU" w:bidi="uk-UA"/>
        </w:rPr>
        <w:t>, ф</w:t>
      </w:r>
      <w:r w:rsidRPr="00A6607D">
        <w:rPr>
          <w:rFonts w:eastAsia="Times New Roman" w:cs="Times New Roman"/>
          <w:spacing w:val="-12"/>
          <w:kern w:val="0"/>
          <w:sz w:val="28"/>
          <w:szCs w:val="28"/>
          <w:lang w:eastAsia="ru-RU" w:bidi="ar-SA"/>
        </w:rPr>
        <w:t>аза закриття 3 місяці</w:t>
      </w:r>
      <w:r w:rsidRPr="00A6607D">
        <w:rPr>
          <w:rFonts w:eastAsia="Times New Roman" w:cs="Times New Roman"/>
          <w:spacing w:val="-12"/>
          <w:kern w:val="0"/>
          <w:sz w:val="28"/>
          <w:szCs w:val="28"/>
          <w:lang w:val="uk-UA" w:eastAsia="ru-RU" w:bidi="uk-UA"/>
        </w:rPr>
        <w:t>.</w:t>
      </w:r>
    </w:p>
    <w:p w14:paraId="5E622483" w14:textId="77777777" w:rsidR="00EE4B7E" w:rsidRPr="00A6607D" w:rsidRDefault="00EE4B7E" w:rsidP="00362509">
      <w:pPr>
        <w:rPr>
          <w:rFonts w:eastAsia="Times New Roman" w:cs="Times New Roman"/>
          <w:spacing w:val="-12"/>
          <w:kern w:val="0"/>
          <w:sz w:val="28"/>
          <w:szCs w:val="28"/>
          <w:lang w:val="uk-UA" w:eastAsia="ru-RU" w:bidi="ar-SA"/>
        </w:rPr>
      </w:pPr>
    </w:p>
    <w:p w14:paraId="7E7A1EAC" w14:textId="1B22F0E9" w:rsidR="000E063F" w:rsidRDefault="00120C42" w:rsidP="00A6607D">
      <w:pPr>
        <w:pStyle w:val="a7"/>
        <w:numPr>
          <w:ilvl w:val="1"/>
          <w:numId w:val="1"/>
        </w:numPr>
        <w:spacing w:after="0" w:line="240" w:lineRule="auto"/>
        <w:jc w:val="center"/>
        <w:rPr>
          <w:rFonts w:ascii="Times New Roman" w:hAnsi="Times New Roman"/>
          <w:b/>
          <w:spacing w:val="-12"/>
          <w:sz w:val="28"/>
          <w:szCs w:val="28"/>
          <w:lang w:val="uk-UA"/>
        </w:rPr>
      </w:pPr>
      <w:r w:rsidRPr="00A6607D">
        <w:rPr>
          <w:rFonts w:ascii="Times New Roman" w:hAnsi="Times New Roman"/>
          <w:b/>
          <w:spacing w:val="-12"/>
          <w:sz w:val="28"/>
          <w:szCs w:val="28"/>
          <w:lang w:val="uk-UA"/>
        </w:rPr>
        <w:t>М</w:t>
      </w:r>
      <w:r w:rsidR="000E063F" w:rsidRPr="00A6607D">
        <w:rPr>
          <w:rFonts w:ascii="Times New Roman" w:hAnsi="Times New Roman"/>
          <w:b/>
          <w:spacing w:val="-12"/>
          <w:sz w:val="28"/>
          <w:szCs w:val="28"/>
          <w:lang w:val="uk-UA"/>
        </w:rPr>
        <w:t>ет</w:t>
      </w:r>
      <w:r w:rsidRPr="00A6607D">
        <w:rPr>
          <w:rFonts w:ascii="Times New Roman" w:hAnsi="Times New Roman"/>
          <w:b/>
          <w:spacing w:val="-12"/>
          <w:sz w:val="28"/>
          <w:szCs w:val="28"/>
          <w:lang w:val="uk-UA"/>
        </w:rPr>
        <w:t>а</w:t>
      </w:r>
      <w:r w:rsidR="000E063F" w:rsidRPr="00A6607D">
        <w:rPr>
          <w:rFonts w:ascii="Times New Roman" w:hAnsi="Times New Roman"/>
          <w:b/>
          <w:spacing w:val="-12"/>
          <w:sz w:val="28"/>
          <w:szCs w:val="28"/>
          <w:lang w:val="uk-UA"/>
        </w:rPr>
        <w:t xml:space="preserve"> Програми</w:t>
      </w:r>
    </w:p>
    <w:p w14:paraId="5C575F14" w14:textId="77777777" w:rsidR="006064AC" w:rsidRPr="006064AC" w:rsidRDefault="006064AC" w:rsidP="006064AC">
      <w:pPr>
        <w:ind w:left="1080"/>
        <w:rPr>
          <w:b/>
          <w:spacing w:val="-12"/>
          <w:sz w:val="28"/>
          <w:szCs w:val="28"/>
          <w:lang w:val="uk-UA"/>
        </w:rPr>
      </w:pPr>
    </w:p>
    <w:p w14:paraId="111C947D" w14:textId="08799CCE" w:rsidR="000D71C4" w:rsidRPr="00A6607D" w:rsidRDefault="000D71C4" w:rsidP="005436F8">
      <w:pPr>
        <w:ind w:firstLine="708"/>
        <w:jc w:val="both"/>
        <w:rPr>
          <w:rFonts w:eastAsia="Times New Roman" w:cs="Times New Roman"/>
          <w:kern w:val="0"/>
          <w:sz w:val="28"/>
          <w:szCs w:val="28"/>
          <w:lang w:val="uk-UA" w:eastAsia="ru-RU"/>
        </w:rPr>
      </w:pPr>
      <w:r w:rsidRPr="00A6607D">
        <w:rPr>
          <w:rFonts w:eastAsia="Times New Roman" w:cs="Times New Roman"/>
          <w:kern w:val="0"/>
          <w:sz w:val="28"/>
          <w:szCs w:val="28"/>
          <w:lang w:eastAsia="ru-RU"/>
        </w:rPr>
        <w:t xml:space="preserve">З огляду на нагальну потребу енергетичного переходу, необхідне більш </w:t>
      </w:r>
      <w:r w:rsidRPr="00A6607D">
        <w:rPr>
          <w:rFonts w:eastAsia="Times New Roman" w:cs="Times New Roman"/>
          <w:kern w:val="0"/>
          <w:sz w:val="28"/>
          <w:szCs w:val="28"/>
          <w:lang w:eastAsia="ru-RU"/>
        </w:rPr>
        <w:lastRenderedPageBreak/>
        <w:t>амбітне просування відновлюваних джерел енергії</w:t>
      </w:r>
      <w:r w:rsidR="00CC248D" w:rsidRPr="00A6607D">
        <w:rPr>
          <w:rFonts w:eastAsia="Times New Roman" w:cs="Times New Roman"/>
          <w:kern w:val="0"/>
          <w:sz w:val="28"/>
          <w:szCs w:val="28"/>
          <w:lang w:val="uk-UA" w:eastAsia="ru-RU"/>
        </w:rPr>
        <w:t xml:space="preserve"> (ВДЕ)</w:t>
      </w:r>
      <w:r w:rsidRPr="00A6607D">
        <w:rPr>
          <w:rFonts w:eastAsia="Times New Roman" w:cs="Times New Roman"/>
          <w:kern w:val="0"/>
          <w:sz w:val="28"/>
          <w:szCs w:val="28"/>
          <w:lang w:eastAsia="ru-RU"/>
        </w:rPr>
        <w:t xml:space="preserve">. Це включає не лише традиційні методи, а й дослідження інноваційних підходів, особливо в сонячному секторі, де можна гармонізувати багатофункціональне використання земель. Однак прискорене впровадження відновлюваної енергії взаємодіє з проблемами охорони природи. Тому </w:t>
      </w:r>
      <w:r w:rsidRPr="00A6607D">
        <w:rPr>
          <w:rFonts w:eastAsia="Times New Roman" w:cs="Times New Roman"/>
          <w:b/>
          <w:bCs/>
          <w:kern w:val="0"/>
          <w:sz w:val="28"/>
          <w:szCs w:val="28"/>
          <w:lang w:eastAsia="ru-RU"/>
        </w:rPr>
        <w:t>головна мета</w:t>
      </w:r>
      <w:r w:rsidR="003B6300">
        <w:rPr>
          <w:rFonts w:eastAsia="Times New Roman" w:cs="Times New Roman"/>
          <w:b/>
          <w:bCs/>
          <w:kern w:val="0"/>
          <w:sz w:val="28"/>
          <w:szCs w:val="28"/>
          <w:lang w:val="uk-UA" w:eastAsia="ru-RU"/>
        </w:rPr>
        <w:t xml:space="preserve"> проє</w:t>
      </w:r>
      <w:r w:rsidR="00CC248D" w:rsidRPr="00A6607D">
        <w:rPr>
          <w:rFonts w:eastAsia="Times New Roman" w:cs="Times New Roman"/>
          <w:b/>
          <w:bCs/>
          <w:kern w:val="0"/>
          <w:sz w:val="28"/>
          <w:szCs w:val="28"/>
          <w:lang w:val="uk-UA" w:eastAsia="ru-RU"/>
        </w:rPr>
        <w:t>кту</w:t>
      </w:r>
      <w:r w:rsidRPr="00A6607D">
        <w:rPr>
          <w:rFonts w:eastAsia="Times New Roman" w:cs="Times New Roman"/>
          <w:kern w:val="0"/>
          <w:sz w:val="28"/>
          <w:szCs w:val="28"/>
          <w:lang w:eastAsia="ru-RU"/>
        </w:rPr>
        <w:t xml:space="preserve"> </w:t>
      </w:r>
      <w:r w:rsidR="00362509" w:rsidRPr="00362509">
        <w:rPr>
          <w:rFonts w:cs="Times New Roman"/>
          <w:b/>
          <w:bCs/>
          <w:color w:val="000000" w:themeColor="text1"/>
          <w:sz w:val="28"/>
          <w:szCs w:val="28"/>
          <w:lang w:val="uk-UA"/>
        </w:rPr>
        <w:t>03</w:t>
      </w:r>
      <w:r w:rsidR="00362509" w:rsidRPr="00362509">
        <w:rPr>
          <w:rFonts w:cs="Times New Roman"/>
          <w:b/>
          <w:bCs/>
          <w:color w:val="000000" w:themeColor="text1"/>
          <w:sz w:val="28"/>
          <w:szCs w:val="28"/>
        </w:rPr>
        <w:t>C</w:t>
      </w:r>
      <w:r w:rsidR="00362509" w:rsidRPr="00362509">
        <w:rPr>
          <w:rFonts w:cs="Times New Roman"/>
          <w:b/>
          <w:bCs/>
          <w:color w:val="000000" w:themeColor="text1"/>
          <w:sz w:val="28"/>
          <w:szCs w:val="28"/>
          <w:lang w:val="uk-UA"/>
        </w:rPr>
        <w:t>0895</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pt-PT" w:eastAsia="uk-UA" w:bidi="uk-UA"/>
        </w:rPr>
        <w:t>–</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uk-UA" w:eastAsia="uk-UA" w:bidi="uk-UA"/>
        </w:rPr>
        <w:t>«</w:t>
      </w:r>
      <w:r w:rsidR="00362509" w:rsidRPr="00362509">
        <w:rPr>
          <w:rFonts w:cs="Times New Roman"/>
          <w:color w:val="000000" w:themeColor="text1"/>
          <w:sz w:val="28"/>
          <w:szCs w:val="28"/>
          <w:lang w:val="uk-UA"/>
        </w:rPr>
        <w:t>BiodivErSe</w:t>
      </w:r>
      <w:r w:rsidR="00362509" w:rsidRPr="00362509">
        <w:rPr>
          <w:rFonts w:eastAsia="Times New Roman" w:cs="Times New Roman"/>
          <w:b/>
          <w:bCs/>
          <w:color w:val="000000" w:themeColor="text1"/>
          <w:kern w:val="0"/>
          <w:sz w:val="28"/>
          <w:szCs w:val="28"/>
          <w:lang w:val="uk-UA" w:eastAsia="uk-UA" w:bidi="uk-UA"/>
        </w:rPr>
        <w:t>»</w:t>
      </w:r>
      <w:r w:rsidRPr="00A6607D">
        <w:rPr>
          <w:rFonts w:eastAsia="Times New Roman" w:cs="Times New Roman"/>
          <w:kern w:val="0"/>
          <w:sz w:val="28"/>
          <w:szCs w:val="28"/>
          <w:lang w:eastAsia="ru-RU"/>
        </w:rPr>
        <w:t xml:space="preserve"> – збалансувати суперечливі пріоритети розширення сонячної енергетики та її екологічних наслідків шляхом міждисциплінарного підходу, що поєднує наукові та адміністративні перспективи: ми оцінюємо потенціал кожного регіону для недостатньо вивчених інноваційних форм PV, визначаємо виклики та обмінюємося кращими практиками, пов’язаними з проблемами біорізноманіття, забезпечуючи громадське схвалення через прозорий та партисипативний підхід. Практична реалізація гарантується залученням органів влади, розробкою адміністративних настанов та поширенням результатів серед політиків.</w:t>
      </w:r>
      <w:r w:rsidRPr="00A6607D">
        <w:rPr>
          <w:rFonts w:eastAsia="Times New Roman" w:cs="Times New Roman"/>
          <w:kern w:val="0"/>
          <w:sz w:val="28"/>
          <w:szCs w:val="28"/>
          <w:lang w:val="uk-UA" w:eastAsia="ru-RU"/>
        </w:rPr>
        <w:br/>
      </w:r>
    </w:p>
    <w:p w14:paraId="4502F347" w14:textId="58C177C5" w:rsidR="00256374" w:rsidRPr="00A6607D" w:rsidRDefault="000D71C4" w:rsidP="00E1512D">
      <w:pPr>
        <w:ind w:firstLine="317"/>
        <w:jc w:val="both"/>
        <w:rPr>
          <w:rFonts w:eastAsia="Times New Roman" w:cs="Times New Roman"/>
          <w:kern w:val="0"/>
          <w:sz w:val="28"/>
          <w:szCs w:val="28"/>
          <w:lang w:val="uk-UA" w:eastAsia="ru-RU"/>
        </w:rPr>
      </w:pPr>
      <w:r w:rsidRPr="00A6607D">
        <w:rPr>
          <w:rFonts w:eastAsia="Times New Roman" w:cs="Times New Roman"/>
          <w:kern w:val="0"/>
          <w:sz w:val="28"/>
          <w:szCs w:val="28"/>
          <w:lang w:eastAsia="ru-RU"/>
        </w:rPr>
        <w:t>Для досягнення кліматичної нейтральності ЄС до 2050 року надзвичайно важливо розширювати використання відновлюваних джерел енергії. Необхідно максимально використовувати потенціал сонячної енергії не лише на будівлях та відкритих просторах, а й на ділянках, придатних для багатофункціонального використання земель (інноваційні сонячні електростанції, такі як плаваючі PV, рекультиваційні території після видобутку корисних копалин та торфові земельні ділянки PV, біотопні PV, агро-PV). Хоча рамки ЄС підкреслюють цей потенціал багатофункціонального використання земель (Європейська стратегія сонячної енергетики), відсутні чіткі законодавчі схеми для стратегічного планування інноваційних PV. Різні держави-члени мають різний потенціал та досвід щодо цих технологій через відмінності ландшафтів, використання земель та клімату. Найкращі практики часто можна адаптувати та застосовувати в різних регіонах, сприяючи розвитку відновлюваної енергетики. Відсутність скоординованих стратегій розширення може призвести до неоптимального використання земель та ігнорування, зокрема, питань біорізноманіття, оскільки пріоритет надається швидкому розгортанню відновлюваної енергетики. Крім того, очевидно, що місцевим органам влади потрібні рекомендації для ефективного балансування економічних та екологічних факторів.</w:t>
      </w:r>
    </w:p>
    <w:p w14:paraId="1D3BBFEA" w14:textId="77777777" w:rsidR="00256374" w:rsidRPr="00A6607D" w:rsidRDefault="00256374" w:rsidP="00362509">
      <w:pPr>
        <w:jc w:val="both"/>
        <w:rPr>
          <w:rFonts w:eastAsia="Times New Roman" w:cs="Times New Roman"/>
          <w:spacing w:val="-12"/>
          <w:kern w:val="0"/>
          <w:sz w:val="28"/>
          <w:szCs w:val="28"/>
          <w:lang w:val="uk-UA" w:eastAsia="ru-RU" w:bidi="ar-SA"/>
        </w:rPr>
      </w:pPr>
    </w:p>
    <w:p w14:paraId="5969989E"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BiodIvErSe</w:t>
      </w:r>
      <w:r w:rsidRPr="002217E4">
        <w:rPr>
          <w:rFonts w:cs="Times New Roman"/>
          <w:sz w:val="28"/>
          <w:szCs w:val="28"/>
          <w:lang w:val="uk-UA"/>
        </w:rPr>
        <w:t xml:space="preserve"> — це міждисциплінарний проєкт, спрямований на інтеграцію адміністративних та наукових перспектив для розробки критеріїв прийняття рішень щодо планування та дозволів, а також політичних інструментів у сфері охорони довкілля, затверджених категорій оцінки впливу, з метою сприяння енергетичному переходу до «зеленішої» Європи у галузі інноваційних </w:t>
      </w:r>
      <w:r w:rsidRPr="00A6607D">
        <w:rPr>
          <w:rFonts w:cs="Times New Roman"/>
          <w:sz w:val="28"/>
          <w:szCs w:val="28"/>
        </w:rPr>
        <w:t>PV</w:t>
      </w:r>
      <w:r w:rsidRPr="002217E4">
        <w:rPr>
          <w:rFonts w:cs="Times New Roman"/>
          <w:sz w:val="28"/>
          <w:szCs w:val="28"/>
          <w:lang w:val="uk-UA"/>
        </w:rPr>
        <w:t xml:space="preserve">-технологій. Щоб досягти цілей через вдосконалення регіональної політики, у основній фазі </w:t>
      </w:r>
      <w:r w:rsidRPr="00A6607D">
        <w:rPr>
          <w:rFonts w:cs="Times New Roman"/>
          <w:sz w:val="28"/>
          <w:szCs w:val="28"/>
        </w:rPr>
        <w:t>BiodIvErSe</w:t>
      </w:r>
      <w:r w:rsidRPr="002217E4">
        <w:rPr>
          <w:rFonts w:cs="Times New Roman"/>
          <w:sz w:val="28"/>
          <w:szCs w:val="28"/>
          <w:lang w:val="uk-UA"/>
        </w:rPr>
        <w:t xml:space="preserve"> зосереджується на обміні досвідом та знаннями на регіональному та міжрегіональному рівнях серед країн-партнерів. Потенціал окремих осіб, організацій та зацікавлених сторін буде посилено через генерацію знань, їх оновлення та передачу досвіду між регіональними партнерами, консультації радників із усіх регіонів щодо інноваційних </w:t>
      </w:r>
      <w:r w:rsidRPr="00A6607D">
        <w:rPr>
          <w:rFonts w:cs="Times New Roman"/>
          <w:sz w:val="28"/>
          <w:szCs w:val="28"/>
        </w:rPr>
        <w:t>PV</w:t>
      </w:r>
      <w:r w:rsidRPr="002217E4">
        <w:rPr>
          <w:rFonts w:cs="Times New Roman"/>
          <w:sz w:val="28"/>
          <w:szCs w:val="28"/>
          <w:lang w:val="uk-UA"/>
        </w:rPr>
        <w:t xml:space="preserve">-систем, а також </w:t>
      </w:r>
      <w:r w:rsidRPr="002217E4">
        <w:rPr>
          <w:rFonts w:cs="Times New Roman"/>
          <w:sz w:val="28"/>
          <w:szCs w:val="28"/>
          <w:lang w:val="uk-UA"/>
        </w:rPr>
        <w:lastRenderedPageBreak/>
        <w:t xml:space="preserve">інформацію від спеціалізованих зацікавлених сторін, органів влади, науковців, громадськості, екологічних організацій та постачальників </w:t>
      </w:r>
      <w:r w:rsidRPr="00A6607D">
        <w:rPr>
          <w:rFonts w:cs="Times New Roman"/>
          <w:sz w:val="28"/>
          <w:szCs w:val="28"/>
        </w:rPr>
        <w:t>PV</w:t>
      </w:r>
      <w:r w:rsidRPr="002217E4">
        <w:rPr>
          <w:rFonts w:cs="Times New Roman"/>
          <w:sz w:val="28"/>
          <w:szCs w:val="28"/>
          <w:lang w:val="uk-UA"/>
        </w:rPr>
        <w:t>-технологій на регіональному та міжрегіональному рівнях. Два партнерські «</w:t>
      </w:r>
      <w:r w:rsidRPr="00A6607D">
        <w:rPr>
          <w:rFonts w:cs="Times New Roman"/>
          <w:sz w:val="28"/>
          <w:szCs w:val="28"/>
        </w:rPr>
        <w:t>discovery</w:t>
      </w:r>
      <w:r w:rsidRPr="002217E4">
        <w:rPr>
          <w:rFonts w:cs="Times New Roman"/>
          <w:sz w:val="28"/>
          <w:szCs w:val="28"/>
          <w:lang w:val="uk-UA"/>
        </w:rPr>
        <w:t xml:space="preserve">» центри (асоційовані партнери) з України будуть залучені як у цифровому форматі, так і під час очних заходів у всіх проєктних активностях, обмінюючись своїми внесками. </w:t>
      </w:r>
      <w:r w:rsidRPr="00A6607D">
        <w:rPr>
          <w:rFonts w:cs="Times New Roman"/>
          <w:sz w:val="28"/>
          <w:szCs w:val="28"/>
        </w:rPr>
        <w:t xml:space="preserve">Результати міжрегіональних та регіональних зустрічей будуть відображені навзаєм для спільної розробки методології покращених політик у регіональних контекстах. </w:t>
      </w:r>
    </w:p>
    <w:p w14:paraId="77AFF45C"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Цей навчальний процес поділяється на три етапи: </w:t>
      </w:r>
    </w:p>
    <w:p w14:paraId="583FF90C"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a) спільна генерація знань (Семестри 1–3), </w:t>
      </w:r>
    </w:p>
    <w:p w14:paraId="67AFE9FB"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b) оновлення та передача знань (Семестри 1–5), </w:t>
      </w:r>
    </w:p>
    <w:p w14:paraId="1EB90419"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c) адаптація політичних інструментів (Семестри 5–6). </w:t>
      </w:r>
    </w:p>
    <w:p w14:paraId="146AEBAF" w14:textId="77777777" w:rsidR="00DD483F" w:rsidRPr="00A6607D" w:rsidRDefault="000D71C4" w:rsidP="00E1512D">
      <w:pPr>
        <w:ind w:firstLine="317"/>
        <w:jc w:val="both"/>
        <w:rPr>
          <w:rFonts w:cs="Times New Roman"/>
          <w:sz w:val="28"/>
          <w:szCs w:val="28"/>
          <w:lang w:val="uk-UA"/>
        </w:rPr>
      </w:pPr>
      <w:r w:rsidRPr="002217E4">
        <w:rPr>
          <w:rFonts w:cs="Times New Roman"/>
          <w:sz w:val="28"/>
          <w:szCs w:val="28"/>
          <w:lang w:val="uk-UA"/>
        </w:rPr>
        <w:t xml:space="preserve">Знання, яке генерується та оновлюється для передачі, буде поширюватися та публікуватися через онлайн-ресурси (вебінари, вебсторінки, соціальні мережі та статті). Залучення регіональних зацікавлених сторін забезпечується внутрішнім інтересом до теми (сфера громадськості), їхніми зонами відповідальності (асоціації, підприємства, органи влади), існуючими довготривалими мережевими зв’язками між партнерами, наданням бюджету для покриття витрат на регіональні та міжрегіональні заходи, сприянням проведенню важливих заходів та можливістю цифрової активної участі у гібридних воркшопах. </w:t>
      </w:r>
    </w:p>
    <w:p w14:paraId="0DFD2770"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A</w:t>
      </w:r>
      <w:r w:rsidRPr="002217E4">
        <w:rPr>
          <w:rFonts w:cs="Times New Roman"/>
          <w:sz w:val="28"/>
          <w:szCs w:val="28"/>
          <w:lang w:val="uk-UA"/>
        </w:rPr>
        <w:t>) Спільна генерація знань: Внутрішнє перше засідання керівного комітету проєкту та зовнішній запуск (</w:t>
      </w:r>
      <w:r w:rsidRPr="00A6607D">
        <w:rPr>
          <w:rFonts w:cs="Times New Roman"/>
          <w:sz w:val="28"/>
          <w:szCs w:val="28"/>
        </w:rPr>
        <w:t>Launching</w:t>
      </w:r>
      <w:r w:rsidRPr="002217E4">
        <w:rPr>
          <w:rFonts w:cs="Times New Roman"/>
          <w:sz w:val="28"/>
          <w:szCs w:val="28"/>
          <w:lang w:val="uk-UA"/>
        </w:rPr>
        <w:t xml:space="preserve"> </w:t>
      </w:r>
      <w:r w:rsidRPr="00A6607D">
        <w:rPr>
          <w:rFonts w:cs="Times New Roman"/>
          <w:sz w:val="28"/>
          <w:szCs w:val="28"/>
        </w:rPr>
        <w:t>Event</w:t>
      </w:r>
      <w:r w:rsidRPr="002217E4">
        <w:rPr>
          <w:rFonts w:cs="Times New Roman"/>
          <w:sz w:val="28"/>
          <w:szCs w:val="28"/>
          <w:lang w:val="uk-UA"/>
        </w:rPr>
        <w:t xml:space="preserve">) як стартова точка для співпраці, презентація сучасного стану інноваційних </w:t>
      </w:r>
      <w:r w:rsidRPr="00A6607D">
        <w:rPr>
          <w:rFonts w:cs="Times New Roman"/>
          <w:sz w:val="28"/>
          <w:szCs w:val="28"/>
        </w:rPr>
        <w:t>PV</w:t>
      </w:r>
      <w:r w:rsidRPr="002217E4">
        <w:rPr>
          <w:rFonts w:cs="Times New Roman"/>
          <w:sz w:val="28"/>
          <w:szCs w:val="28"/>
          <w:lang w:val="uk-UA"/>
        </w:rPr>
        <w:t xml:space="preserve">, визначення регіональних потреб та сильних і слабких сторін регіональної політики. 3 глибокі міжрегіональні воркшопи, проведені радником консорціуму для партнерів і зацікавлених сторін, щодо сучасного стану інноваційних </w:t>
      </w:r>
      <w:r w:rsidRPr="00A6607D">
        <w:rPr>
          <w:rFonts w:cs="Times New Roman"/>
          <w:sz w:val="28"/>
          <w:szCs w:val="28"/>
        </w:rPr>
        <w:t>PV</w:t>
      </w:r>
      <w:r w:rsidRPr="002217E4">
        <w:rPr>
          <w:rFonts w:cs="Times New Roman"/>
          <w:sz w:val="28"/>
          <w:szCs w:val="28"/>
          <w:lang w:val="uk-UA"/>
        </w:rPr>
        <w:t xml:space="preserve"> (технології, оцінка впливу, кращі/гірші практики). </w:t>
      </w:r>
      <w:r w:rsidRPr="00A6607D">
        <w:rPr>
          <w:rFonts w:cs="Times New Roman"/>
          <w:sz w:val="28"/>
          <w:szCs w:val="28"/>
        </w:rPr>
        <w:t xml:space="preserve">2 спільні дослідження для порівняння регіональних базових факторів (правова база, участь та прийняття). </w:t>
      </w:r>
    </w:p>
    <w:p w14:paraId="513856FD"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B) Оновлення та передача знань: Проєкт оновлює та передає знання про специфіку регіонів та досвід через 7 навчальних візитів у 6 партнерських регіонах протягом Семестрів 1–3. 6 загальних воркшопів з політичної методології щодо розробки критеріїв оцінки знань про інноваційні PV серед партнерів. Кожного семестру відбувається щонайменше одна зустріч із регіональними зацікавленими сторонами для виявлення та розвитку регіональної ситуації, ініційованої міжрегіональним навчальним процесом. Потоки інформації між партнерами та зацікавленими сторонами налаштовані так, щоб віддзеркалювати внески та підвищувати індивідуальні та організаційні криві навчання. </w:t>
      </w:r>
    </w:p>
    <w:p w14:paraId="78111BD5" w14:textId="77777777" w:rsidR="005436F8" w:rsidRDefault="000D71C4" w:rsidP="005436F8">
      <w:pPr>
        <w:ind w:firstLine="317"/>
        <w:jc w:val="both"/>
        <w:rPr>
          <w:rFonts w:cs="Times New Roman"/>
          <w:sz w:val="28"/>
          <w:szCs w:val="28"/>
        </w:rPr>
      </w:pPr>
      <w:r w:rsidRPr="00A6607D">
        <w:rPr>
          <w:rFonts w:cs="Times New Roman"/>
          <w:sz w:val="28"/>
          <w:szCs w:val="28"/>
        </w:rPr>
        <w:t xml:space="preserve">C) Адаптація політичних інструментів: У кожному регіоні, залученому до конкретного політичного інструменту, проводяться 6 воркшопів із розробки політики для адаптації уроків, отриманих у попередніх періодах проєкту. Воркшопи ведуться відповідним (асоційованим) органом політики за участю регіональних органів влади та зацікавлених сторін. Протягом Семестрів 5–6 результати навчальних кривих відображаються з урахуванням стану адаптації регіональних політичних інструментів. Результати навчання, процедури </w:t>
      </w:r>
      <w:r w:rsidRPr="00A6607D">
        <w:rPr>
          <w:rFonts w:cs="Times New Roman"/>
          <w:sz w:val="28"/>
          <w:szCs w:val="28"/>
        </w:rPr>
        <w:lastRenderedPageBreak/>
        <w:t>адаптації політики та проєктування покращених політичних інструментів документуються для міжрегіонального співробітництва та етапу оцінки проєкту, щоб стимулювати організаційне навчання через міжрегіональну співпрацю (участь органів політики).</w:t>
      </w:r>
    </w:p>
    <w:p w14:paraId="19FA562D" w14:textId="77777777" w:rsidR="00AC145D" w:rsidRDefault="00AC145D" w:rsidP="005436F8">
      <w:pPr>
        <w:ind w:firstLine="317"/>
        <w:jc w:val="both"/>
        <w:rPr>
          <w:rFonts w:cs="Times New Roman"/>
          <w:sz w:val="28"/>
          <w:szCs w:val="28"/>
        </w:rPr>
      </w:pPr>
    </w:p>
    <w:p w14:paraId="29F6BE14" w14:textId="1C51BF6E" w:rsidR="005436F8" w:rsidRPr="00AC145D" w:rsidRDefault="008B0C93" w:rsidP="00AC145D">
      <w:pPr>
        <w:pStyle w:val="a7"/>
        <w:numPr>
          <w:ilvl w:val="0"/>
          <w:numId w:val="1"/>
        </w:numPr>
        <w:rPr>
          <w:rFonts w:ascii="Times New Roman" w:hAnsi="Times New Roman"/>
          <w:sz w:val="28"/>
          <w:szCs w:val="28"/>
        </w:rPr>
      </w:pPr>
      <w:r w:rsidRPr="00AC145D">
        <w:rPr>
          <w:rFonts w:ascii="Times New Roman" w:hAnsi="Times New Roman"/>
          <w:b/>
          <w:bCs/>
          <w:spacing w:val="-12"/>
          <w:sz w:val="28"/>
          <w:szCs w:val="28"/>
          <w:lang w:val="uk-UA"/>
        </w:rPr>
        <w:t xml:space="preserve">Основні завдання </w:t>
      </w:r>
      <w:r w:rsidR="00120C42" w:rsidRPr="00AC145D">
        <w:rPr>
          <w:rFonts w:ascii="Times New Roman" w:hAnsi="Times New Roman"/>
          <w:b/>
          <w:bCs/>
          <w:spacing w:val="-12"/>
          <w:sz w:val="28"/>
          <w:szCs w:val="28"/>
          <w:lang w:val="uk-UA"/>
        </w:rPr>
        <w:t xml:space="preserve">та заходи </w:t>
      </w:r>
      <w:r w:rsidRPr="00AC145D">
        <w:rPr>
          <w:rFonts w:ascii="Times New Roman" w:hAnsi="Times New Roman"/>
          <w:b/>
          <w:bCs/>
          <w:spacing w:val="-12"/>
          <w:sz w:val="28"/>
          <w:szCs w:val="28"/>
          <w:lang w:val="uk-UA"/>
        </w:rPr>
        <w:t>Програми</w:t>
      </w:r>
    </w:p>
    <w:p w14:paraId="6FD820DE" w14:textId="08F5F3A2" w:rsidR="00D624A7" w:rsidRPr="00A6607D" w:rsidRDefault="00D624A7" w:rsidP="005436F8">
      <w:pPr>
        <w:ind w:firstLine="708"/>
        <w:rPr>
          <w:rFonts w:cs="Times New Roman"/>
          <w:sz w:val="28"/>
          <w:szCs w:val="28"/>
        </w:rPr>
      </w:pPr>
      <w:r w:rsidRPr="00A6607D">
        <w:rPr>
          <w:rFonts w:cs="Times New Roman"/>
          <w:sz w:val="28"/>
          <w:szCs w:val="28"/>
        </w:rPr>
        <w:t>Просування інноваційних PV-технологій для прискорення енергетичного переходу з урахуванням оцінки впливу на біорізноманіття для сталого розвитку</w:t>
      </w:r>
      <w:r w:rsidR="00CC248D" w:rsidRPr="00A6607D">
        <w:rPr>
          <w:rFonts w:cs="Times New Roman"/>
          <w:sz w:val="28"/>
          <w:szCs w:val="28"/>
          <w:lang w:val="uk-UA"/>
        </w:rPr>
        <w:t>.</w:t>
      </w:r>
      <w:r w:rsidRPr="00A6607D">
        <w:rPr>
          <w:rFonts w:cs="Times New Roman"/>
          <w:sz w:val="28"/>
          <w:szCs w:val="28"/>
        </w:rPr>
        <w:t xml:space="preserve"> </w:t>
      </w:r>
    </w:p>
    <w:p w14:paraId="42A30569" w14:textId="5171EA78" w:rsidR="00775C80" w:rsidRPr="00A6607D" w:rsidRDefault="00D624A7" w:rsidP="00CC248D">
      <w:pPr>
        <w:pStyle w:val="a7"/>
        <w:spacing w:after="0" w:line="240" w:lineRule="auto"/>
        <w:ind w:left="0"/>
        <w:jc w:val="both"/>
        <w:rPr>
          <w:rFonts w:ascii="Times New Roman" w:hAnsi="Times New Roman"/>
          <w:sz w:val="28"/>
          <w:szCs w:val="28"/>
          <w:lang w:val="en-US"/>
        </w:rPr>
      </w:pPr>
      <w:r w:rsidRPr="00A6607D">
        <w:rPr>
          <w:rFonts w:ascii="Times New Roman" w:hAnsi="Times New Roman"/>
          <w:sz w:val="28"/>
          <w:szCs w:val="28"/>
        </w:rPr>
        <w:t>Проєкт підтримує як зниження викидів CO₂, так і адаптацію до змін клімату через створення та підтримку карбонових сховищ (болота). Багатофункціональне використання земель зменшує споживання територій, гармонізуючи конкуруючі види використання та створюючи синергійні ефекти, наприклад, тінь від Agri-PV сприяє кращому росту сільськогосподарських культур. Планування та оцінка дозволів зосереджуються на біорізноманітті та впливі на природу. Інтеграція PV у біорізноманітні чутливі/рекультиваційні території сприяє економічному зростанню за рахунок додаткового доходу (можливе спрямування коштів на заходи захисту природи). Agri-PV збільшує доходи фермерів за рахунок більш ефективного використання земель. Водні PV, наприклад на водосховищах питної води, зберігають воду шляхом зменшення випаровування та приносять дохід від виробництва електроенергії. Соціальне прийняття забезпечується шляхом інформування та залучення громадськості. Рання участь прискорює отримання дозволів завдяки оперативному розв’язанню можливих заперечень. Екологічні організації залучаються як носії знань, використовуючи свої права за Конвенцією Aarhus.</w:t>
      </w:r>
    </w:p>
    <w:p w14:paraId="285CA33C" w14:textId="77777777" w:rsidR="00A6607D" w:rsidRPr="00A6607D" w:rsidRDefault="00A6607D" w:rsidP="00CC248D">
      <w:pPr>
        <w:pStyle w:val="a7"/>
        <w:spacing w:after="0" w:line="240" w:lineRule="auto"/>
        <w:ind w:left="0"/>
        <w:jc w:val="both"/>
        <w:rPr>
          <w:rFonts w:ascii="Times New Roman" w:hAnsi="Times New Roman"/>
          <w:b/>
          <w:spacing w:val="-12"/>
          <w:sz w:val="28"/>
          <w:szCs w:val="28"/>
          <w:lang w:val="en-US"/>
        </w:rPr>
      </w:pPr>
    </w:p>
    <w:p w14:paraId="03136E68" w14:textId="77777777" w:rsidR="000E063F" w:rsidRDefault="000E063F" w:rsidP="00AC145D">
      <w:pPr>
        <w:pStyle w:val="a7"/>
        <w:numPr>
          <w:ilvl w:val="0"/>
          <w:numId w:val="4"/>
        </w:numPr>
        <w:spacing w:after="0" w:line="240" w:lineRule="auto"/>
        <w:jc w:val="center"/>
        <w:rPr>
          <w:rFonts w:ascii="Times New Roman" w:hAnsi="Times New Roman"/>
          <w:b/>
          <w:spacing w:val="-12"/>
          <w:sz w:val="28"/>
          <w:szCs w:val="28"/>
          <w:lang w:val="uk-UA"/>
        </w:rPr>
      </w:pPr>
      <w:r w:rsidRPr="00A6607D">
        <w:rPr>
          <w:rFonts w:ascii="Times New Roman" w:hAnsi="Times New Roman"/>
          <w:b/>
          <w:spacing w:val="-12"/>
          <w:sz w:val="28"/>
          <w:szCs w:val="28"/>
          <w:lang w:val="uk-UA"/>
        </w:rPr>
        <w:t xml:space="preserve">Обсяги та джерела фінансування Програми, </w:t>
      </w:r>
      <w:r w:rsidR="00A30330" w:rsidRPr="00A6607D">
        <w:rPr>
          <w:rFonts w:ascii="Times New Roman" w:hAnsi="Times New Roman"/>
          <w:b/>
          <w:spacing w:val="-12"/>
          <w:sz w:val="28"/>
          <w:szCs w:val="28"/>
          <w:lang w:val="uk-UA"/>
        </w:rPr>
        <w:t>с</w:t>
      </w:r>
      <w:r w:rsidRPr="00A6607D">
        <w:rPr>
          <w:rFonts w:ascii="Times New Roman" w:hAnsi="Times New Roman"/>
          <w:b/>
          <w:spacing w:val="-12"/>
          <w:sz w:val="28"/>
          <w:szCs w:val="28"/>
          <w:lang w:val="uk-UA"/>
        </w:rPr>
        <w:t>троки виконання Програми</w:t>
      </w:r>
    </w:p>
    <w:p w14:paraId="120224BD" w14:textId="77777777" w:rsidR="00AC145D" w:rsidRPr="00A6607D" w:rsidRDefault="00AC145D" w:rsidP="00AC145D">
      <w:pPr>
        <w:pStyle w:val="a7"/>
        <w:spacing w:after="0" w:line="240" w:lineRule="auto"/>
        <w:ind w:left="677"/>
        <w:rPr>
          <w:rFonts w:ascii="Times New Roman" w:hAnsi="Times New Roman"/>
          <w:b/>
          <w:spacing w:val="-12"/>
          <w:sz w:val="28"/>
          <w:szCs w:val="28"/>
          <w:lang w:val="uk-UA"/>
        </w:rPr>
      </w:pPr>
    </w:p>
    <w:p w14:paraId="1B7F366B" w14:textId="725B492C" w:rsidR="008B0C93" w:rsidRPr="00A6607D" w:rsidRDefault="00120C42" w:rsidP="00E1512D">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Загальний б</w:t>
      </w:r>
      <w:r w:rsidR="008B0C93" w:rsidRPr="00A6607D">
        <w:rPr>
          <w:rFonts w:ascii="Times New Roman" w:hAnsi="Times New Roman"/>
          <w:spacing w:val="-12"/>
          <w:sz w:val="28"/>
          <w:szCs w:val="28"/>
          <w:lang w:val="uk-UA"/>
        </w:rPr>
        <w:t>юджет</w:t>
      </w:r>
      <w:r w:rsidR="00256374" w:rsidRPr="002217E4">
        <w:rPr>
          <w:rFonts w:ascii="Times New Roman" w:eastAsia="Calibri" w:hAnsi="Times New Roman"/>
          <w:kern w:val="2"/>
          <w:sz w:val="28"/>
          <w:szCs w:val="28"/>
          <w:lang w:val="uk-UA" w:eastAsia="uk-UA" w:bidi="uk-UA"/>
        </w:rPr>
        <w:t xml:space="preserve"> </w:t>
      </w:r>
      <w:r w:rsidR="00672FD3">
        <w:rPr>
          <w:rFonts w:ascii="Times New Roman" w:hAnsi="Times New Roman"/>
          <w:spacing w:val="-12"/>
          <w:sz w:val="28"/>
          <w:szCs w:val="28"/>
          <w:lang w:val="uk-UA"/>
        </w:rPr>
        <w:t>проє</w:t>
      </w:r>
      <w:r w:rsidR="00256374" w:rsidRPr="002217E4">
        <w:rPr>
          <w:rFonts w:ascii="Times New Roman" w:hAnsi="Times New Roman"/>
          <w:spacing w:val="-12"/>
          <w:sz w:val="28"/>
          <w:szCs w:val="28"/>
          <w:lang w:val="uk-UA"/>
        </w:rPr>
        <w:t>кт</w:t>
      </w:r>
      <w:r w:rsidR="00256374" w:rsidRPr="00A6607D">
        <w:rPr>
          <w:rFonts w:ascii="Times New Roman" w:hAnsi="Times New Roman"/>
          <w:spacing w:val="-12"/>
          <w:sz w:val="28"/>
          <w:szCs w:val="28"/>
          <w:lang w:val="uk-UA"/>
        </w:rPr>
        <w:t>у</w:t>
      </w:r>
      <w:r w:rsidR="00256374" w:rsidRPr="002217E4">
        <w:rPr>
          <w:rFonts w:ascii="Times New Roman" w:hAnsi="Times New Roman"/>
          <w:spacing w:val="-12"/>
          <w:sz w:val="28"/>
          <w:szCs w:val="28"/>
          <w:lang w:val="uk-UA"/>
        </w:rPr>
        <w:t xml:space="preserve"> </w:t>
      </w:r>
      <w:r w:rsidR="00256374" w:rsidRPr="002217E4">
        <w:rPr>
          <w:rFonts w:ascii="Times New Roman" w:hAnsi="Times New Roman"/>
          <w:b/>
          <w:bCs/>
          <w:iCs/>
          <w:spacing w:val="-12"/>
          <w:sz w:val="28"/>
          <w:szCs w:val="28"/>
          <w:lang w:val="uk-UA"/>
        </w:rPr>
        <w:t>«</w:t>
      </w:r>
      <w:r w:rsidR="000D71C4" w:rsidRPr="00A6607D">
        <w:rPr>
          <w:rFonts w:ascii="Times New Roman" w:hAnsi="Times New Roman"/>
          <w:sz w:val="28"/>
          <w:szCs w:val="2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00256374" w:rsidRPr="002217E4">
        <w:rPr>
          <w:rFonts w:ascii="Times New Roman" w:hAnsi="Times New Roman"/>
          <w:spacing w:val="-12"/>
          <w:sz w:val="28"/>
          <w:szCs w:val="28"/>
          <w:lang w:val="uk-UA"/>
        </w:rPr>
        <w:t>)</w:t>
      </w:r>
      <w:r w:rsidR="008B0C93"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 xml:space="preserve">на всіх партнерів </w:t>
      </w:r>
      <w:r w:rsidR="008B0C93" w:rsidRPr="00A6607D">
        <w:rPr>
          <w:rFonts w:ascii="Times New Roman" w:hAnsi="Times New Roman"/>
          <w:spacing w:val="-12"/>
          <w:sz w:val="28"/>
          <w:szCs w:val="28"/>
          <w:lang w:val="uk-UA"/>
        </w:rPr>
        <w:t>становить:</w:t>
      </w:r>
      <w:r w:rsidR="00C547E8" w:rsidRPr="00A6607D">
        <w:rPr>
          <w:rFonts w:ascii="Times New Roman" w:hAnsi="Times New Roman"/>
          <w:spacing w:val="-12"/>
          <w:sz w:val="28"/>
          <w:szCs w:val="28"/>
          <w:lang w:val="uk-UA"/>
        </w:rPr>
        <w:t xml:space="preserve"> </w:t>
      </w:r>
      <w:r w:rsidR="00D624A7" w:rsidRPr="002217E4">
        <w:rPr>
          <w:rFonts w:ascii="Times New Roman" w:hAnsi="Times New Roman"/>
          <w:sz w:val="28"/>
          <w:szCs w:val="28"/>
          <w:lang w:val="uk-UA"/>
        </w:rPr>
        <w:t xml:space="preserve">1792545,00 </w:t>
      </w:r>
      <w:r w:rsidR="008B0C93" w:rsidRPr="00A6607D">
        <w:rPr>
          <w:rFonts w:ascii="Times New Roman" w:hAnsi="Times New Roman"/>
          <w:spacing w:val="-12"/>
          <w:sz w:val="28"/>
          <w:szCs w:val="28"/>
          <w:lang w:val="uk-UA"/>
        </w:rPr>
        <w:t>євро.</w:t>
      </w:r>
      <w:r w:rsidR="004D673E" w:rsidRPr="00A6607D">
        <w:rPr>
          <w:rFonts w:ascii="Times New Roman" w:hAnsi="Times New Roman"/>
          <w:spacing w:val="-12"/>
          <w:sz w:val="28"/>
          <w:szCs w:val="28"/>
          <w:lang w:val="uk-UA"/>
        </w:rPr>
        <w:t xml:space="preserve"> (</w:t>
      </w:r>
      <w:r w:rsidR="004D673E" w:rsidRPr="00A6607D">
        <w:rPr>
          <w:rFonts w:ascii="Times New Roman" w:hAnsi="Times New Roman"/>
          <w:spacing w:val="-12"/>
          <w:sz w:val="28"/>
          <w:szCs w:val="28"/>
          <w:lang w:val="uk-UA" w:bidi="uk-UA"/>
        </w:rPr>
        <w:t>загальний бюджет міжнародного проєкту).</w:t>
      </w:r>
    </w:p>
    <w:p w14:paraId="7A5767E8" w14:textId="67F3DD90" w:rsidR="008B0C93" w:rsidRPr="00A6607D" w:rsidRDefault="00120C42" w:rsidP="00E1512D">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В рамках виконання Гранту на ф</w:t>
      </w:r>
      <w:r w:rsidR="008B0C93" w:rsidRPr="00A6607D">
        <w:rPr>
          <w:rFonts w:ascii="Times New Roman" w:hAnsi="Times New Roman"/>
          <w:spacing w:val="-12"/>
          <w:sz w:val="28"/>
          <w:szCs w:val="28"/>
          <w:lang w:val="uk-UA"/>
        </w:rPr>
        <w:t xml:space="preserve">інансування </w:t>
      </w:r>
      <w:r w:rsidR="003D706F">
        <w:rPr>
          <w:rFonts w:ascii="Times New Roman" w:hAnsi="Times New Roman"/>
          <w:spacing w:val="-12"/>
          <w:sz w:val="28"/>
          <w:szCs w:val="28"/>
          <w:lang w:val="uk-UA"/>
        </w:rPr>
        <w:t xml:space="preserve">Виконавчого комітету </w:t>
      </w:r>
      <w:r w:rsidR="00D624A7" w:rsidRPr="00A6607D">
        <w:rPr>
          <w:rFonts w:ascii="Times New Roman" w:hAnsi="Times New Roman"/>
          <w:spacing w:val="-12"/>
          <w:sz w:val="28"/>
          <w:szCs w:val="28"/>
          <w:lang w:val="uk-UA"/>
        </w:rPr>
        <w:t>Дрогобицької</w:t>
      </w:r>
      <w:r w:rsidR="008B0C93" w:rsidRPr="00A6607D">
        <w:rPr>
          <w:rFonts w:ascii="Times New Roman" w:hAnsi="Times New Roman"/>
          <w:spacing w:val="-12"/>
          <w:sz w:val="28"/>
          <w:szCs w:val="28"/>
          <w:lang w:val="uk-UA"/>
        </w:rPr>
        <w:t xml:space="preserve"> міської </w:t>
      </w:r>
      <w:r w:rsidR="003D706F">
        <w:rPr>
          <w:rFonts w:ascii="Times New Roman" w:hAnsi="Times New Roman"/>
          <w:spacing w:val="-12"/>
          <w:sz w:val="28"/>
          <w:szCs w:val="28"/>
          <w:lang w:val="uk-UA"/>
        </w:rPr>
        <w:t>ради</w:t>
      </w:r>
      <w:r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bidi="uk-UA"/>
        </w:rPr>
        <w:t>(</w:t>
      </w:r>
      <w:r w:rsidR="00C30E18">
        <w:rPr>
          <w:rFonts w:ascii="Times New Roman" w:hAnsi="Times New Roman"/>
          <w:spacing w:val="-12"/>
          <w:sz w:val="28"/>
          <w:szCs w:val="28"/>
          <w:lang w:val="en-US" w:bidi="uk-UA"/>
        </w:rPr>
        <w:t>D</w:t>
      </w:r>
      <w:r w:rsidRPr="00A6607D">
        <w:rPr>
          <w:rFonts w:ascii="Times New Roman" w:hAnsi="Times New Roman"/>
          <w:spacing w:val="-12"/>
          <w:sz w:val="28"/>
          <w:szCs w:val="28"/>
          <w:lang w:val="uk-UA" w:bidi="uk-UA"/>
        </w:rPr>
        <w:t>P</w:t>
      </w:r>
      <w:r w:rsidR="00C30E18" w:rsidRPr="00C30E18">
        <w:rPr>
          <w:rFonts w:ascii="Times New Roman" w:hAnsi="Times New Roman"/>
          <w:spacing w:val="-12"/>
          <w:sz w:val="28"/>
          <w:szCs w:val="28"/>
          <w:lang w:val="uk-UA" w:bidi="uk-UA"/>
        </w:rPr>
        <w:t>0</w:t>
      </w:r>
      <w:r w:rsidR="00D624A7" w:rsidRPr="00A6607D">
        <w:rPr>
          <w:rFonts w:ascii="Times New Roman" w:hAnsi="Times New Roman"/>
          <w:spacing w:val="-12"/>
          <w:sz w:val="28"/>
          <w:szCs w:val="28"/>
          <w:lang w:val="uk-UA" w:bidi="uk-UA"/>
        </w:rPr>
        <w:t>8</w:t>
      </w:r>
      <w:r w:rsidRPr="00A6607D">
        <w:rPr>
          <w:rFonts w:ascii="Times New Roman" w:hAnsi="Times New Roman"/>
          <w:spacing w:val="-12"/>
          <w:sz w:val="28"/>
          <w:szCs w:val="28"/>
          <w:lang w:val="uk-UA" w:bidi="uk-UA"/>
        </w:rPr>
        <w:t xml:space="preserve">) </w:t>
      </w:r>
      <w:r w:rsidRPr="00A6607D">
        <w:rPr>
          <w:rFonts w:ascii="Times New Roman" w:hAnsi="Times New Roman"/>
          <w:spacing w:val="-12"/>
          <w:sz w:val="28"/>
          <w:szCs w:val="28"/>
          <w:lang w:val="uk-UA"/>
        </w:rPr>
        <w:t xml:space="preserve"> передбачені  кошти </w:t>
      </w:r>
      <w:r w:rsidR="00D624A7" w:rsidRPr="00A6607D">
        <w:rPr>
          <w:rFonts w:ascii="Times New Roman" w:hAnsi="Times New Roman"/>
          <w:spacing w:val="-12"/>
          <w:sz w:val="28"/>
          <w:szCs w:val="28"/>
          <w:lang w:val="uk-UA"/>
        </w:rPr>
        <w:t>49008</w:t>
      </w:r>
      <w:r w:rsidRPr="00A6607D">
        <w:rPr>
          <w:rFonts w:ascii="Times New Roman" w:hAnsi="Times New Roman"/>
          <w:spacing w:val="-12"/>
          <w:sz w:val="28"/>
          <w:szCs w:val="28"/>
          <w:lang w:val="uk-UA"/>
        </w:rPr>
        <w:t>,</w:t>
      </w:r>
      <w:r w:rsidR="00D624A7" w:rsidRPr="00A6607D">
        <w:rPr>
          <w:rFonts w:ascii="Times New Roman" w:hAnsi="Times New Roman"/>
          <w:spacing w:val="-12"/>
          <w:sz w:val="28"/>
          <w:szCs w:val="28"/>
          <w:lang w:val="uk-UA"/>
        </w:rPr>
        <w:t xml:space="preserve">00 </w:t>
      </w:r>
      <w:r w:rsidRPr="00A6607D">
        <w:rPr>
          <w:rFonts w:ascii="Times New Roman" w:hAnsi="Times New Roman"/>
          <w:spacing w:val="-12"/>
          <w:sz w:val="28"/>
          <w:szCs w:val="28"/>
          <w:lang w:val="uk-UA"/>
        </w:rPr>
        <w:t>євро, а саме за рахунок  коштів Європейського Союзу через Програму INTERREG Europe</w:t>
      </w:r>
      <w:r w:rsidR="00C12DE0"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 xml:space="preserve"> -</w:t>
      </w:r>
      <w:r w:rsidR="00C12DE0" w:rsidRPr="00A6607D">
        <w:rPr>
          <w:rFonts w:ascii="Times New Roman" w:hAnsi="Times New Roman"/>
          <w:spacing w:val="-12"/>
          <w:sz w:val="28"/>
          <w:szCs w:val="28"/>
          <w:lang w:val="uk-UA"/>
        </w:rPr>
        <w:t xml:space="preserve"> </w:t>
      </w:r>
      <w:r w:rsidR="00D624A7" w:rsidRPr="00A6607D">
        <w:rPr>
          <w:rFonts w:ascii="Times New Roman" w:hAnsi="Times New Roman"/>
          <w:spacing w:val="-12"/>
          <w:sz w:val="28"/>
          <w:szCs w:val="28"/>
          <w:lang w:val="uk-UA"/>
        </w:rPr>
        <w:t>39 206,4</w:t>
      </w:r>
      <w:r w:rsidR="003D706F">
        <w:rPr>
          <w:rFonts w:ascii="Times New Roman" w:hAnsi="Times New Roman"/>
          <w:spacing w:val="-12"/>
          <w:sz w:val="28"/>
          <w:szCs w:val="28"/>
          <w:lang w:val="uk-UA"/>
        </w:rPr>
        <w:t xml:space="preserve">0 </w:t>
      </w:r>
      <w:r w:rsidRPr="00A6607D">
        <w:rPr>
          <w:rFonts w:ascii="Times New Roman" w:hAnsi="Times New Roman"/>
          <w:spacing w:val="-12"/>
          <w:sz w:val="28"/>
          <w:szCs w:val="28"/>
          <w:lang w:val="uk-UA"/>
        </w:rPr>
        <w:t>євро (</w:t>
      </w:r>
      <w:r w:rsidR="003D706F">
        <w:rPr>
          <w:rFonts w:ascii="Times New Roman" w:hAnsi="Times New Roman"/>
          <w:spacing w:val="-12"/>
          <w:sz w:val="28"/>
          <w:szCs w:val="28"/>
          <w:lang w:val="uk-UA"/>
        </w:rPr>
        <w:t>8</w:t>
      </w:r>
      <w:r w:rsidR="00D624A7" w:rsidRPr="00A6607D">
        <w:rPr>
          <w:rFonts w:ascii="Times New Roman" w:hAnsi="Times New Roman"/>
          <w:spacing w:val="-12"/>
          <w:sz w:val="28"/>
          <w:szCs w:val="28"/>
          <w:lang w:val="uk-UA"/>
        </w:rPr>
        <w:t>0</w:t>
      </w:r>
      <w:r w:rsidRPr="00A6607D">
        <w:rPr>
          <w:rFonts w:ascii="Times New Roman" w:hAnsi="Times New Roman"/>
          <w:spacing w:val="-12"/>
          <w:sz w:val="28"/>
          <w:szCs w:val="28"/>
          <w:lang w:val="uk-UA"/>
        </w:rPr>
        <w:t xml:space="preserve">%) та співфінансування з бюджету </w:t>
      </w:r>
      <w:r w:rsidR="00D624A7" w:rsidRPr="00A6607D">
        <w:rPr>
          <w:rFonts w:ascii="Times New Roman" w:hAnsi="Times New Roman"/>
          <w:spacing w:val="-12"/>
          <w:sz w:val="28"/>
          <w:szCs w:val="28"/>
          <w:lang w:val="uk-UA"/>
        </w:rPr>
        <w:t>Дрогобицької</w:t>
      </w:r>
      <w:r w:rsidRPr="00A6607D">
        <w:rPr>
          <w:rFonts w:ascii="Times New Roman" w:hAnsi="Times New Roman"/>
          <w:spacing w:val="-12"/>
          <w:sz w:val="28"/>
          <w:szCs w:val="28"/>
          <w:lang w:val="uk-UA"/>
        </w:rPr>
        <w:t xml:space="preserve"> міської територіальної громади</w:t>
      </w:r>
      <w:r w:rsidR="00C12DE0" w:rsidRPr="00A6607D">
        <w:rPr>
          <w:rFonts w:ascii="Times New Roman" w:hAnsi="Times New Roman"/>
          <w:spacing w:val="-12"/>
          <w:sz w:val="28"/>
          <w:szCs w:val="28"/>
          <w:lang w:val="uk-UA"/>
        </w:rPr>
        <w:t xml:space="preserve"> кошти в сумі, що еквівалентні </w:t>
      </w:r>
      <w:r w:rsidRPr="00A6607D">
        <w:rPr>
          <w:rFonts w:ascii="Times New Roman" w:hAnsi="Times New Roman"/>
          <w:spacing w:val="-12"/>
          <w:sz w:val="28"/>
          <w:szCs w:val="28"/>
          <w:lang w:val="uk-UA"/>
        </w:rPr>
        <w:t xml:space="preserve"> </w:t>
      </w:r>
      <w:bookmarkStart w:id="4" w:name="_Hlk213760058"/>
      <w:r w:rsidR="00D624A7" w:rsidRPr="00A6607D">
        <w:rPr>
          <w:rFonts w:ascii="Times New Roman" w:hAnsi="Times New Roman"/>
          <w:spacing w:val="-12"/>
          <w:sz w:val="28"/>
          <w:szCs w:val="28"/>
          <w:lang w:val="uk-UA"/>
        </w:rPr>
        <w:t>9 801,6</w:t>
      </w:r>
      <w:r w:rsidR="003D706F">
        <w:rPr>
          <w:rFonts w:ascii="Times New Roman" w:hAnsi="Times New Roman"/>
          <w:spacing w:val="-12"/>
          <w:sz w:val="28"/>
          <w:szCs w:val="28"/>
          <w:lang w:val="uk-UA"/>
        </w:rPr>
        <w:t>0</w:t>
      </w:r>
      <w:r w:rsidR="00D624A7"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євро</w:t>
      </w:r>
      <w:bookmarkEnd w:id="4"/>
      <w:r w:rsidRPr="00A6607D">
        <w:rPr>
          <w:rFonts w:ascii="Times New Roman" w:hAnsi="Times New Roman"/>
          <w:spacing w:val="-12"/>
          <w:sz w:val="28"/>
          <w:szCs w:val="28"/>
          <w:lang w:val="uk-UA"/>
        </w:rPr>
        <w:t xml:space="preserve"> (2</w:t>
      </w:r>
      <w:r w:rsidR="00D624A7" w:rsidRPr="00A6607D">
        <w:rPr>
          <w:rFonts w:ascii="Times New Roman" w:hAnsi="Times New Roman"/>
          <w:spacing w:val="-12"/>
          <w:sz w:val="28"/>
          <w:szCs w:val="28"/>
          <w:lang w:val="uk-UA"/>
        </w:rPr>
        <w:t>0</w:t>
      </w:r>
      <w:r w:rsidRPr="00A6607D">
        <w:rPr>
          <w:rFonts w:ascii="Times New Roman" w:hAnsi="Times New Roman"/>
          <w:spacing w:val="-12"/>
          <w:sz w:val="28"/>
          <w:szCs w:val="28"/>
          <w:lang w:val="uk-UA"/>
        </w:rPr>
        <w:t>%)</w:t>
      </w:r>
    </w:p>
    <w:p w14:paraId="063A399A" w14:textId="7F0BAF7D" w:rsidR="00F3210A" w:rsidRPr="00A6607D" w:rsidRDefault="00F3210A" w:rsidP="00F3210A">
      <w:pPr>
        <w:pStyle w:val="a7"/>
        <w:spacing w:after="0" w:line="240" w:lineRule="auto"/>
        <w:ind w:left="0" w:firstLine="708"/>
        <w:jc w:val="both"/>
        <w:rPr>
          <w:rFonts w:ascii="Times New Roman" w:hAnsi="Times New Roman"/>
          <w:spacing w:val="-12"/>
          <w:sz w:val="28"/>
          <w:szCs w:val="28"/>
        </w:rPr>
      </w:pPr>
      <w:r w:rsidRPr="002217E4">
        <w:rPr>
          <w:rFonts w:ascii="Times New Roman" w:hAnsi="Times New Roman"/>
          <w:spacing w:val="-12"/>
          <w:sz w:val="28"/>
          <w:szCs w:val="28"/>
          <w:lang w:val="uk-UA"/>
        </w:rPr>
        <w:t xml:space="preserve">У рамках програми </w:t>
      </w:r>
      <w:r w:rsidRPr="00A6607D">
        <w:rPr>
          <w:rFonts w:ascii="Times New Roman" w:hAnsi="Times New Roman"/>
          <w:spacing w:val="-12"/>
          <w:sz w:val="28"/>
          <w:szCs w:val="28"/>
        </w:rPr>
        <w:t>Interreg</w:t>
      </w:r>
      <w:r w:rsidRPr="002217E4">
        <w:rPr>
          <w:rFonts w:ascii="Times New Roman" w:hAnsi="Times New Roman"/>
          <w:spacing w:val="-12"/>
          <w:sz w:val="28"/>
          <w:szCs w:val="28"/>
          <w:lang w:val="uk-UA"/>
        </w:rPr>
        <w:t xml:space="preserve"> </w:t>
      </w:r>
      <w:r w:rsidRPr="00A6607D">
        <w:rPr>
          <w:rFonts w:ascii="Times New Roman" w:hAnsi="Times New Roman"/>
          <w:spacing w:val="-12"/>
          <w:sz w:val="28"/>
          <w:szCs w:val="28"/>
        </w:rPr>
        <w:t>Europe</w:t>
      </w:r>
      <w:r w:rsidRPr="002217E4">
        <w:rPr>
          <w:rFonts w:ascii="Times New Roman" w:hAnsi="Times New Roman"/>
          <w:spacing w:val="-12"/>
          <w:sz w:val="28"/>
          <w:szCs w:val="28"/>
          <w:lang w:val="uk-UA"/>
        </w:rPr>
        <w:t xml:space="preserve"> проектна діяльність співфінансується з фондів </w:t>
      </w:r>
      <w:r w:rsidRPr="00A6607D">
        <w:rPr>
          <w:rFonts w:ascii="Times New Roman" w:hAnsi="Times New Roman"/>
          <w:spacing w:val="-12"/>
          <w:sz w:val="28"/>
          <w:szCs w:val="28"/>
        </w:rPr>
        <w:t>Interreg</w:t>
      </w:r>
      <w:r w:rsidRPr="002217E4">
        <w:rPr>
          <w:rFonts w:ascii="Times New Roman" w:hAnsi="Times New Roman"/>
          <w:spacing w:val="-12"/>
          <w:sz w:val="28"/>
          <w:szCs w:val="28"/>
          <w:lang w:val="uk-UA"/>
        </w:rPr>
        <w:t xml:space="preserve"> у розмірі 70% або 80%, залежно від юридичного статусу партнера про</w:t>
      </w:r>
      <w:r w:rsidR="00672FD3">
        <w:rPr>
          <w:rFonts w:ascii="Times New Roman" w:hAnsi="Times New Roman"/>
          <w:spacing w:val="-12"/>
          <w:sz w:val="28"/>
          <w:szCs w:val="28"/>
          <w:lang w:val="uk-UA"/>
        </w:rPr>
        <w:t>є</w:t>
      </w:r>
      <w:r w:rsidRPr="002217E4">
        <w:rPr>
          <w:rFonts w:ascii="Times New Roman" w:hAnsi="Times New Roman"/>
          <w:spacing w:val="-12"/>
          <w:sz w:val="28"/>
          <w:szCs w:val="28"/>
          <w:lang w:val="uk-UA"/>
        </w:rPr>
        <w:t xml:space="preserve">кту. </w:t>
      </w:r>
      <w:r w:rsidRPr="00A6607D">
        <w:rPr>
          <w:rFonts w:ascii="Times New Roman" w:hAnsi="Times New Roman"/>
          <w:spacing w:val="-12"/>
          <w:sz w:val="28"/>
          <w:szCs w:val="28"/>
        </w:rPr>
        <w:t xml:space="preserve">Решта 30% або 20% повинні бути надані самими партнерами. Власні внески партнерів можуть надходити з їхніх власних бюджетів або з інших джерел. </w:t>
      </w:r>
    </w:p>
    <w:p w14:paraId="02C0886A" w14:textId="24574923" w:rsidR="00F3210A" w:rsidRPr="00A6607D" w:rsidRDefault="00F3210A" w:rsidP="00F3210A">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 xml:space="preserve">Для Виконавчого комітету </w:t>
      </w:r>
      <w:r w:rsidR="003D706F">
        <w:rPr>
          <w:rFonts w:ascii="Times New Roman" w:hAnsi="Times New Roman"/>
          <w:spacing w:val="-12"/>
          <w:sz w:val="28"/>
          <w:szCs w:val="28"/>
          <w:lang w:val="uk-UA"/>
        </w:rPr>
        <w:t>Дрогобицької міської ради</w:t>
      </w:r>
      <w:r w:rsidR="009E43A1">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 xml:space="preserve">в рамках виконання Програми  це співвідношення встановлено  на рівні  </w:t>
      </w:r>
      <w:r w:rsidR="00D624A7" w:rsidRPr="00A6607D">
        <w:rPr>
          <w:rFonts w:ascii="Times New Roman" w:hAnsi="Times New Roman"/>
          <w:spacing w:val="-12"/>
          <w:sz w:val="28"/>
          <w:szCs w:val="28"/>
          <w:lang w:val="uk-UA"/>
        </w:rPr>
        <w:t>80</w:t>
      </w:r>
      <w:r w:rsidR="003D706F">
        <w:rPr>
          <w:rFonts w:ascii="Times New Roman" w:hAnsi="Times New Roman"/>
          <w:spacing w:val="-12"/>
          <w:sz w:val="28"/>
          <w:szCs w:val="28"/>
          <w:lang w:val="uk-UA"/>
        </w:rPr>
        <w:t>%</w:t>
      </w:r>
      <w:r w:rsidR="00D624A7" w:rsidRPr="00A6607D">
        <w:rPr>
          <w:rFonts w:ascii="Times New Roman" w:hAnsi="Times New Roman"/>
          <w:spacing w:val="-12"/>
          <w:sz w:val="28"/>
          <w:szCs w:val="28"/>
          <w:lang w:val="uk-UA"/>
        </w:rPr>
        <w:t>/20%.</w:t>
      </w:r>
    </w:p>
    <w:p w14:paraId="2F3DF837" w14:textId="1D034C67" w:rsidR="00F3210A" w:rsidRPr="00A6607D" w:rsidRDefault="00F3210A" w:rsidP="00F3210A">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П</w:t>
      </w:r>
      <w:r w:rsidRPr="00A6607D">
        <w:rPr>
          <w:rFonts w:ascii="Times New Roman" w:hAnsi="Times New Roman"/>
          <w:spacing w:val="-12"/>
          <w:sz w:val="28"/>
          <w:szCs w:val="28"/>
        </w:rPr>
        <w:t>ро</w:t>
      </w:r>
      <w:r w:rsidR="00D5435E">
        <w:rPr>
          <w:rFonts w:ascii="Times New Roman" w:hAnsi="Times New Roman"/>
          <w:spacing w:val="-12"/>
          <w:sz w:val="28"/>
          <w:szCs w:val="28"/>
          <w:lang w:val="uk-UA"/>
        </w:rPr>
        <w:t>грама</w:t>
      </w:r>
      <w:r w:rsidRPr="00A6607D">
        <w:rPr>
          <w:rFonts w:ascii="Times New Roman" w:hAnsi="Times New Roman"/>
          <w:spacing w:val="-12"/>
          <w:sz w:val="28"/>
          <w:szCs w:val="28"/>
        </w:rPr>
        <w:t xml:space="preserve"> </w:t>
      </w:r>
      <w:r w:rsidR="009E43A1">
        <w:rPr>
          <w:rFonts w:ascii="Times New Roman" w:hAnsi="Times New Roman"/>
          <w:spacing w:val="-12"/>
          <w:sz w:val="28"/>
          <w:szCs w:val="28"/>
          <w:lang w:val="uk-UA"/>
        </w:rPr>
        <w:t>«</w:t>
      </w:r>
      <w:r w:rsidRPr="00A6607D">
        <w:rPr>
          <w:rFonts w:ascii="Times New Roman" w:hAnsi="Times New Roman"/>
          <w:spacing w:val="-12"/>
          <w:sz w:val="28"/>
          <w:szCs w:val="28"/>
        </w:rPr>
        <w:t>Interreg Europe</w:t>
      </w:r>
      <w:r w:rsidR="00D624A7" w:rsidRPr="00A6607D">
        <w:rPr>
          <w:rFonts w:ascii="Times New Roman" w:hAnsi="Times New Roman"/>
          <w:spacing w:val="-12"/>
          <w:sz w:val="28"/>
          <w:szCs w:val="28"/>
          <w:lang w:val="uk-UA"/>
        </w:rPr>
        <w:t>»</w:t>
      </w:r>
      <w:r w:rsidRPr="00A6607D">
        <w:rPr>
          <w:rFonts w:ascii="Times New Roman" w:hAnsi="Times New Roman"/>
          <w:spacing w:val="-12"/>
          <w:sz w:val="28"/>
          <w:szCs w:val="28"/>
        </w:rPr>
        <w:t xml:space="preserve"> не передбачає авансових платежів. </w:t>
      </w:r>
      <w:r w:rsidRPr="00A6607D">
        <w:rPr>
          <w:rFonts w:ascii="Times New Roman" w:hAnsi="Times New Roman"/>
          <w:spacing w:val="-12"/>
          <w:sz w:val="28"/>
          <w:szCs w:val="28"/>
          <w:lang w:val="uk-UA"/>
        </w:rPr>
        <w:t>Ц</w:t>
      </w:r>
      <w:r w:rsidRPr="00A6607D">
        <w:rPr>
          <w:rFonts w:ascii="Times New Roman" w:hAnsi="Times New Roman"/>
          <w:spacing w:val="-12"/>
          <w:sz w:val="28"/>
          <w:szCs w:val="28"/>
        </w:rPr>
        <w:t xml:space="preserve">е означає, що кожен </w:t>
      </w:r>
      <w:r w:rsidR="00256374" w:rsidRPr="00A6607D">
        <w:rPr>
          <w:rFonts w:ascii="Times New Roman" w:hAnsi="Times New Roman"/>
          <w:spacing w:val="-12"/>
          <w:sz w:val="28"/>
          <w:szCs w:val="28"/>
          <w:lang w:val="uk-UA"/>
        </w:rPr>
        <w:t xml:space="preserve">учасник </w:t>
      </w:r>
      <w:r w:rsidRPr="00A6607D">
        <w:rPr>
          <w:rFonts w:ascii="Times New Roman" w:hAnsi="Times New Roman"/>
          <w:spacing w:val="-12"/>
          <w:sz w:val="28"/>
          <w:szCs w:val="28"/>
        </w:rPr>
        <w:t>про</w:t>
      </w:r>
      <w:r w:rsidR="00672FD3">
        <w:rPr>
          <w:rFonts w:ascii="Times New Roman" w:hAnsi="Times New Roman"/>
          <w:spacing w:val="-12"/>
          <w:sz w:val="28"/>
          <w:szCs w:val="28"/>
          <w:lang w:val="uk-UA"/>
        </w:rPr>
        <w:t>є</w:t>
      </w:r>
      <w:r w:rsidRPr="00A6607D">
        <w:rPr>
          <w:rFonts w:ascii="Times New Roman" w:hAnsi="Times New Roman"/>
          <w:spacing w:val="-12"/>
          <w:sz w:val="28"/>
          <w:szCs w:val="28"/>
        </w:rPr>
        <w:t>кт</w:t>
      </w:r>
      <w:r w:rsidR="00256374" w:rsidRPr="00A6607D">
        <w:rPr>
          <w:rFonts w:ascii="Times New Roman" w:hAnsi="Times New Roman"/>
          <w:spacing w:val="-12"/>
          <w:sz w:val="28"/>
          <w:szCs w:val="28"/>
          <w:lang w:val="uk-UA"/>
        </w:rPr>
        <w:t>у</w:t>
      </w:r>
      <w:r w:rsidRPr="00A6607D">
        <w:rPr>
          <w:rFonts w:ascii="Times New Roman" w:hAnsi="Times New Roman"/>
          <w:spacing w:val="-12"/>
          <w:sz w:val="28"/>
          <w:szCs w:val="28"/>
        </w:rPr>
        <w:t xml:space="preserve"> повинен мати можливість самостійно авансувати кошти для оплати всіх своїх проектних заходів до моменту затвердження та оплати піврічних звітів </w:t>
      </w:r>
      <w:r w:rsidR="009E43E5">
        <w:rPr>
          <w:rFonts w:ascii="Times New Roman" w:hAnsi="Times New Roman"/>
          <w:spacing w:val="-12"/>
          <w:sz w:val="28"/>
          <w:szCs w:val="28"/>
        </w:rPr>
        <w:lastRenderedPageBreak/>
        <w:t>про хід виконання про</w:t>
      </w:r>
      <w:r w:rsidR="009E43E5">
        <w:rPr>
          <w:rFonts w:ascii="Times New Roman" w:hAnsi="Times New Roman"/>
          <w:spacing w:val="-12"/>
          <w:sz w:val="28"/>
          <w:szCs w:val="28"/>
          <w:lang w:val="uk-UA"/>
        </w:rPr>
        <w:t>є</w:t>
      </w:r>
      <w:r w:rsidRPr="00A6607D">
        <w:rPr>
          <w:rFonts w:ascii="Times New Roman" w:hAnsi="Times New Roman"/>
          <w:spacing w:val="-12"/>
          <w:sz w:val="28"/>
          <w:szCs w:val="28"/>
        </w:rPr>
        <w:t xml:space="preserve">кту. Програма відшкодовуватиме </w:t>
      </w:r>
      <w:r w:rsidR="00D624A7" w:rsidRPr="00A6607D">
        <w:rPr>
          <w:rFonts w:ascii="Times New Roman" w:hAnsi="Times New Roman"/>
          <w:spacing w:val="-12"/>
          <w:sz w:val="28"/>
          <w:szCs w:val="28"/>
          <w:lang w:val="uk-UA"/>
        </w:rPr>
        <w:t>80</w:t>
      </w:r>
      <w:r w:rsidRPr="00A6607D">
        <w:rPr>
          <w:rFonts w:ascii="Times New Roman" w:hAnsi="Times New Roman"/>
          <w:spacing w:val="-12"/>
          <w:sz w:val="28"/>
          <w:szCs w:val="28"/>
        </w:rPr>
        <w:t>% загальних прийнятних витрат, задекларованих кожним партнером у своєму звіті про хід виконання проекту</w:t>
      </w:r>
      <w:r w:rsidRPr="00A6607D">
        <w:rPr>
          <w:rFonts w:ascii="Times New Roman" w:hAnsi="Times New Roman"/>
          <w:spacing w:val="-12"/>
          <w:sz w:val="28"/>
          <w:szCs w:val="28"/>
          <w:lang w:val="uk-UA"/>
        </w:rPr>
        <w:t xml:space="preserve">.   </w:t>
      </w:r>
    </w:p>
    <w:p w14:paraId="7768282D" w14:textId="77777777" w:rsidR="005678D8" w:rsidRPr="00A6607D" w:rsidRDefault="005678D8" w:rsidP="00F3210A">
      <w:pPr>
        <w:pStyle w:val="a7"/>
        <w:spacing w:after="0" w:line="240" w:lineRule="auto"/>
        <w:ind w:left="0" w:firstLine="708"/>
        <w:jc w:val="both"/>
        <w:rPr>
          <w:rFonts w:ascii="Times New Roman" w:hAnsi="Times New Roman"/>
          <w:spacing w:val="-12"/>
          <w:sz w:val="28"/>
          <w:szCs w:val="28"/>
          <w:lang w:val="uk-UA"/>
        </w:rPr>
      </w:pPr>
    </w:p>
    <w:p w14:paraId="413662BB" w14:textId="03A29468" w:rsidR="009E43A1" w:rsidRPr="00A6607D" w:rsidRDefault="00F3210A" w:rsidP="00C30E18">
      <w:pPr>
        <w:pStyle w:val="a6"/>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 xml:space="preserve">Фінансування для </w:t>
      </w:r>
      <w:r w:rsidR="000D71C4" w:rsidRPr="00A6607D">
        <w:rPr>
          <w:rFonts w:ascii="Times New Roman" w:hAnsi="Times New Roman" w:cs="Times New Roman"/>
          <w:spacing w:val="-12"/>
          <w:sz w:val="28"/>
          <w:szCs w:val="28"/>
          <w:lang w:val="uk-UA" w:bidi="uk-UA"/>
        </w:rPr>
        <w:t>Дрогобицької міської</w:t>
      </w:r>
      <w:r w:rsidRPr="00A6607D">
        <w:rPr>
          <w:rFonts w:ascii="Times New Roman" w:hAnsi="Times New Roman" w:cs="Times New Roman"/>
          <w:spacing w:val="-12"/>
          <w:sz w:val="28"/>
          <w:szCs w:val="28"/>
          <w:lang w:val="uk-UA" w:bidi="uk-UA"/>
        </w:rPr>
        <w:t xml:space="preserve"> територіальної громади включає наступні категорії витрат:</w:t>
      </w:r>
    </w:p>
    <w:p w14:paraId="5D026A48" w14:textId="505D2FD8" w:rsidR="00F3210A" w:rsidRPr="00A6607D" w:rsidRDefault="00F3210A" w:rsidP="00F3210A">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Загальні витрати на персонал</w:t>
      </w:r>
      <w:r w:rsidRPr="00A6607D">
        <w:rPr>
          <w:rFonts w:ascii="Times New Roman" w:hAnsi="Times New Roman" w:cs="Times New Roman"/>
          <w:spacing w:val="-12"/>
          <w:sz w:val="28"/>
          <w:szCs w:val="28"/>
          <w:lang w:val="uk-UA" w:bidi="uk-UA"/>
        </w:rPr>
        <w:tab/>
        <w:t xml:space="preserve">                                    </w:t>
      </w:r>
      <w:r w:rsidR="000D71C4" w:rsidRPr="00A6607D">
        <w:rPr>
          <w:rFonts w:ascii="Times New Roman" w:hAnsi="Times New Roman" w:cs="Times New Roman"/>
          <w:spacing w:val="-12"/>
          <w:sz w:val="28"/>
          <w:szCs w:val="28"/>
          <w:lang w:val="uk-UA" w:bidi="uk-UA"/>
        </w:rPr>
        <w:t>33000</w:t>
      </w:r>
      <w:r w:rsidRPr="00A6607D">
        <w:rPr>
          <w:rFonts w:ascii="Times New Roman" w:hAnsi="Times New Roman" w:cs="Times New Roman"/>
          <w:spacing w:val="-12"/>
          <w:sz w:val="28"/>
          <w:szCs w:val="28"/>
          <w:lang w:val="uk-UA" w:bidi="uk-UA"/>
        </w:rPr>
        <w:t>,00 €</w:t>
      </w:r>
      <w:r w:rsidR="003D706F">
        <w:rPr>
          <w:rFonts w:ascii="Times New Roman" w:hAnsi="Times New Roman" w:cs="Times New Roman"/>
          <w:spacing w:val="-12"/>
          <w:sz w:val="28"/>
          <w:szCs w:val="28"/>
          <w:lang w:val="uk-UA" w:bidi="uk-UA"/>
        </w:rPr>
        <w:t>вро</w:t>
      </w:r>
    </w:p>
    <w:p w14:paraId="40B42266" w14:textId="4D0A331D" w:rsidR="00F3210A" w:rsidRPr="00A6607D" w:rsidRDefault="00F3210A" w:rsidP="00F3210A">
      <w:pPr>
        <w:pStyle w:val="a6"/>
        <w:jc w:val="both"/>
        <w:rPr>
          <w:rFonts w:ascii="Times New Roman" w:hAnsi="Times New Roman" w:cs="Times New Roman"/>
          <w:spacing w:val="-12"/>
          <w:sz w:val="28"/>
          <w:szCs w:val="28"/>
          <w:lang w:val="uk-UA" w:bidi="uk-UA"/>
        </w:rPr>
      </w:pPr>
      <w:bookmarkStart w:id="5" w:name="_Hlk215474342"/>
      <w:r w:rsidRPr="00A6607D">
        <w:rPr>
          <w:rFonts w:ascii="Times New Roman" w:hAnsi="Times New Roman" w:cs="Times New Roman"/>
          <w:spacing w:val="-12"/>
          <w:sz w:val="28"/>
          <w:szCs w:val="28"/>
          <w:lang w:val="uk-UA" w:bidi="uk-UA"/>
        </w:rPr>
        <w:t>Офіс та адміністрація (фіксована ставка)</w:t>
      </w:r>
      <w:r w:rsidRPr="00A6607D">
        <w:rPr>
          <w:rFonts w:ascii="Times New Roman" w:hAnsi="Times New Roman" w:cs="Times New Roman"/>
          <w:spacing w:val="-12"/>
          <w:sz w:val="28"/>
          <w:szCs w:val="28"/>
          <w:lang w:val="uk-UA" w:bidi="uk-UA"/>
        </w:rPr>
        <w:tab/>
        <w:t xml:space="preserve">        </w:t>
      </w:r>
      <w:r w:rsidR="005A4EC4">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4950</w:t>
      </w:r>
      <w:r w:rsidRPr="00A6607D">
        <w:rPr>
          <w:rFonts w:ascii="Times New Roman" w:hAnsi="Times New Roman" w:cs="Times New Roman"/>
          <w:spacing w:val="-12"/>
          <w:sz w:val="28"/>
          <w:szCs w:val="28"/>
          <w:lang w:val="uk-UA" w:bidi="uk-UA"/>
        </w:rPr>
        <w:t>,</w:t>
      </w:r>
      <w:r w:rsidR="000D71C4" w:rsidRPr="00A6607D">
        <w:rPr>
          <w:rFonts w:ascii="Times New Roman" w:hAnsi="Times New Roman" w:cs="Times New Roman"/>
          <w:spacing w:val="-12"/>
          <w:sz w:val="28"/>
          <w:szCs w:val="28"/>
          <w:lang w:val="uk-UA" w:bidi="uk-UA"/>
        </w:rPr>
        <w:t>0</w:t>
      </w:r>
      <w:r w:rsidR="003D706F">
        <w:rPr>
          <w:rFonts w:ascii="Times New Roman" w:hAnsi="Times New Roman" w:cs="Times New Roman"/>
          <w:spacing w:val="-12"/>
          <w:sz w:val="28"/>
          <w:szCs w:val="28"/>
          <w:lang w:val="uk-UA" w:bidi="uk-UA"/>
        </w:rPr>
        <w:t xml:space="preserve">0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p>
    <w:p w14:paraId="59987F84" w14:textId="306DADD0" w:rsidR="00F3210A" w:rsidRPr="00A6607D" w:rsidRDefault="00F3210A" w:rsidP="00F3210A">
      <w:pPr>
        <w:pStyle w:val="a6"/>
        <w:jc w:val="both"/>
        <w:rPr>
          <w:rFonts w:ascii="Times New Roman" w:hAnsi="Times New Roman" w:cs="Times New Roman"/>
          <w:spacing w:val="-12"/>
          <w:sz w:val="28"/>
          <w:szCs w:val="28"/>
          <w:lang w:val="uk-UA" w:bidi="uk-UA"/>
        </w:rPr>
      </w:pPr>
      <w:bookmarkStart w:id="6" w:name="_Hlk215072445"/>
      <w:r w:rsidRPr="00A6607D">
        <w:rPr>
          <w:rFonts w:ascii="Times New Roman" w:hAnsi="Times New Roman" w:cs="Times New Roman"/>
          <w:spacing w:val="-12"/>
          <w:sz w:val="28"/>
          <w:szCs w:val="28"/>
          <w:lang w:val="uk-UA" w:bidi="uk-UA"/>
        </w:rPr>
        <w:t xml:space="preserve">Проїзд та проживання </w:t>
      </w:r>
      <w:bookmarkEnd w:id="5"/>
      <w:bookmarkEnd w:id="6"/>
      <w:r w:rsidRPr="00A6607D">
        <w:rPr>
          <w:rFonts w:ascii="Times New Roman" w:hAnsi="Times New Roman" w:cs="Times New Roman"/>
          <w:spacing w:val="-12"/>
          <w:sz w:val="28"/>
          <w:szCs w:val="28"/>
          <w:lang w:val="uk-UA" w:bidi="uk-UA"/>
        </w:rPr>
        <w:t>(</w:t>
      </w:r>
      <w:r w:rsidR="005A4EC4" w:rsidRPr="00A6607D">
        <w:rPr>
          <w:rFonts w:ascii="Times New Roman" w:hAnsi="Times New Roman" w:cs="Times New Roman"/>
          <w:spacing w:val="-12"/>
          <w:sz w:val="28"/>
          <w:szCs w:val="28"/>
          <w:lang w:val="uk-UA" w:bidi="uk-UA"/>
        </w:rPr>
        <w:t>реальні</w:t>
      </w:r>
      <w:r w:rsidR="00C30E18">
        <w:rPr>
          <w:rFonts w:ascii="Times New Roman" w:hAnsi="Times New Roman" w:cs="Times New Roman"/>
          <w:spacing w:val="-12"/>
          <w:sz w:val="28"/>
          <w:szCs w:val="28"/>
          <w:lang w:val="uk-UA" w:bidi="uk-UA"/>
        </w:rPr>
        <w:t xml:space="preserve"> витрати</w:t>
      </w:r>
      <w:r w:rsidRPr="00A6607D">
        <w:rPr>
          <w:rFonts w:ascii="Times New Roman" w:hAnsi="Times New Roman" w:cs="Times New Roman"/>
          <w:spacing w:val="-12"/>
          <w:sz w:val="28"/>
          <w:szCs w:val="28"/>
          <w:lang w:val="uk-UA" w:bidi="uk-UA"/>
        </w:rPr>
        <w:t>)</w:t>
      </w:r>
      <w:r w:rsidRPr="00A6607D">
        <w:rPr>
          <w:rFonts w:ascii="Times New Roman" w:hAnsi="Times New Roman" w:cs="Times New Roman"/>
          <w:spacing w:val="-12"/>
          <w:sz w:val="28"/>
          <w:szCs w:val="28"/>
          <w:lang w:val="uk-UA" w:bidi="uk-UA"/>
        </w:rPr>
        <w:tab/>
        <w:t xml:space="preserve">         </w:t>
      </w:r>
      <w:r w:rsidR="005A4EC4">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10358</w:t>
      </w:r>
      <w:r w:rsidRPr="00A6607D">
        <w:rPr>
          <w:rFonts w:ascii="Times New Roman" w:hAnsi="Times New Roman" w:cs="Times New Roman"/>
          <w:spacing w:val="-12"/>
          <w:sz w:val="28"/>
          <w:szCs w:val="28"/>
          <w:lang w:val="uk-UA" w:bidi="uk-UA"/>
        </w:rPr>
        <w:t>,</w:t>
      </w:r>
      <w:r w:rsidR="000D71C4" w:rsidRPr="00A6607D">
        <w:rPr>
          <w:rFonts w:ascii="Times New Roman" w:hAnsi="Times New Roman" w:cs="Times New Roman"/>
          <w:spacing w:val="-12"/>
          <w:sz w:val="28"/>
          <w:szCs w:val="28"/>
          <w:lang w:val="uk-UA" w:bidi="uk-UA"/>
        </w:rPr>
        <w:t>00</w:t>
      </w:r>
      <w:r w:rsidR="003D706F">
        <w:rPr>
          <w:rFonts w:ascii="Times New Roman" w:hAnsi="Times New Roman" w:cs="Times New Roman"/>
          <w:spacing w:val="-12"/>
          <w:sz w:val="28"/>
          <w:szCs w:val="28"/>
          <w:lang w:val="uk-UA" w:bidi="uk-UA"/>
        </w:rPr>
        <w:t xml:space="preserve">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p>
    <w:p w14:paraId="4A60CA56" w14:textId="7A2515E0" w:rsidR="00F3210A" w:rsidRPr="00A6607D" w:rsidRDefault="00F3210A" w:rsidP="00F3210A">
      <w:pPr>
        <w:pStyle w:val="a6"/>
        <w:jc w:val="both"/>
        <w:rPr>
          <w:rFonts w:ascii="Times New Roman" w:hAnsi="Times New Roman" w:cs="Times New Roman"/>
          <w:spacing w:val="-12"/>
          <w:sz w:val="28"/>
          <w:szCs w:val="28"/>
          <w:lang w:val="uk-UA" w:bidi="uk-UA"/>
        </w:rPr>
      </w:pPr>
      <w:bookmarkStart w:id="7" w:name="_Hlk215072646"/>
      <w:r w:rsidRPr="00A6607D">
        <w:rPr>
          <w:rFonts w:ascii="Times New Roman" w:hAnsi="Times New Roman" w:cs="Times New Roman"/>
          <w:spacing w:val="-12"/>
          <w:sz w:val="28"/>
          <w:szCs w:val="28"/>
          <w:lang w:val="uk-UA" w:bidi="uk-UA"/>
        </w:rPr>
        <w:t xml:space="preserve">Зовнішня експертиза та послуги </w:t>
      </w:r>
      <w:bookmarkEnd w:id="7"/>
      <w:r w:rsidRPr="00A6607D">
        <w:rPr>
          <w:rFonts w:ascii="Times New Roman" w:hAnsi="Times New Roman" w:cs="Times New Roman"/>
          <w:spacing w:val="-12"/>
          <w:sz w:val="28"/>
          <w:szCs w:val="28"/>
          <w:lang w:val="uk-UA" w:bidi="uk-UA"/>
        </w:rPr>
        <w:t>(реальні витрати)</w:t>
      </w:r>
      <w:r w:rsidRPr="00A6607D">
        <w:rPr>
          <w:rFonts w:ascii="Times New Roman" w:hAnsi="Times New Roman" w:cs="Times New Roman"/>
          <w:spacing w:val="-12"/>
          <w:sz w:val="28"/>
          <w:szCs w:val="28"/>
          <w:lang w:val="uk-UA" w:bidi="uk-UA"/>
        </w:rPr>
        <w:tab/>
      </w:r>
      <w:r w:rsidR="005A4EC4">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700</w:t>
      </w:r>
      <w:r w:rsidR="003D706F">
        <w:rPr>
          <w:rFonts w:ascii="Times New Roman" w:hAnsi="Times New Roman" w:cs="Times New Roman"/>
          <w:spacing w:val="-12"/>
          <w:sz w:val="28"/>
          <w:szCs w:val="28"/>
          <w:lang w:val="uk-UA" w:bidi="uk-UA"/>
        </w:rPr>
        <w:t xml:space="preserve">,00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p>
    <w:p w14:paraId="7E3F27D8" w14:textId="1BA1B62A" w:rsidR="00F3210A" w:rsidRPr="00A6607D" w:rsidRDefault="00F3210A" w:rsidP="00F3210A">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Разом:</w:t>
      </w:r>
      <w:r w:rsidRPr="00A6607D">
        <w:rPr>
          <w:rFonts w:ascii="Times New Roman" w:hAnsi="Times New Roman" w:cs="Times New Roman"/>
          <w:spacing w:val="-12"/>
          <w:sz w:val="28"/>
          <w:szCs w:val="28"/>
          <w:lang w:val="uk-UA" w:bidi="uk-UA"/>
        </w:rPr>
        <w:tab/>
        <w:t xml:space="preserve">                                                                      </w:t>
      </w:r>
      <w:r w:rsidR="00F41B10" w:rsidRPr="00A6607D">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49008</w:t>
      </w:r>
      <w:r w:rsidR="003D706F">
        <w:rPr>
          <w:rFonts w:ascii="Times New Roman" w:hAnsi="Times New Roman" w:cs="Times New Roman"/>
          <w:spacing w:val="-12"/>
          <w:sz w:val="28"/>
          <w:szCs w:val="28"/>
          <w:lang w:val="uk-UA" w:bidi="uk-UA"/>
        </w:rPr>
        <w:t xml:space="preserve">,00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r w:rsidRPr="00A6607D">
        <w:rPr>
          <w:rFonts w:ascii="Times New Roman" w:hAnsi="Times New Roman" w:cs="Times New Roman"/>
          <w:spacing w:val="-12"/>
          <w:sz w:val="28"/>
          <w:szCs w:val="28"/>
          <w:lang w:val="uk-UA" w:bidi="uk-UA"/>
        </w:rPr>
        <w:t xml:space="preserve">  </w:t>
      </w:r>
    </w:p>
    <w:p w14:paraId="57E88B2B" w14:textId="77777777" w:rsidR="00F41B10" w:rsidRPr="00A6607D" w:rsidRDefault="00F41B10" w:rsidP="00F3210A">
      <w:pPr>
        <w:pStyle w:val="a6"/>
        <w:jc w:val="both"/>
        <w:rPr>
          <w:rFonts w:ascii="Times New Roman" w:hAnsi="Times New Roman" w:cs="Times New Roman"/>
          <w:spacing w:val="-12"/>
          <w:sz w:val="28"/>
          <w:szCs w:val="28"/>
          <w:lang w:val="uk-UA" w:bidi="uk-UA"/>
        </w:rPr>
      </w:pPr>
    </w:p>
    <w:p w14:paraId="0F2FDAA6" w14:textId="138EA224" w:rsidR="00F3210A" w:rsidRPr="00A6607D" w:rsidRDefault="00F3210A" w:rsidP="00F3210A">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 xml:space="preserve">Таблиця розподілу по </w:t>
      </w:r>
      <w:r w:rsidR="003D706F">
        <w:rPr>
          <w:rFonts w:ascii="Times New Roman" w:hAnsi="Times New Roman" w:cs="Times New Roman"/>
          <w:spacing w:val="-12"/>
          <w:sz w:val="28"/>
          <w:szCs w:val="28"/>
          <w:lang w:val="uk-UA" w:bidi="uk-UA"/>
        </w:rPr>
        <w:t xml:space="preserve">семестрах </w:t>
      </w:r>
      <w:r w:rsidRPr="00A6607D">
        <w:rPr>
          <w:rFonts w:ascii="Times New Roman" w:hAnsi="Times New Roman" w:cs="Times New Roman"/>
          <w:spacing w:val="-12"/>
          <w:sz w:val="28"/>
          <w:szCs w:val="28"/>
          <w:lang w:val="uk-UA" w:bidi="uk-UA"/>
        </w:rPr>
        <w:t>додається</w:t>
      </w:r>
      <w:r w:rsidR="00CC248D" w:rsidRPr="00A6607D">
        <w:rPr>
          <w:rFonts w:ascii="Times New Roman" w:hAnsi="Times New Roman" w:cs="Times New Roman"/>
          <w:spacing w:val="-12"/>
          <w:sz w:val="28"/>
          <w:szCs w:val="28"/>
          <w:lang w:val="uk-UA" w:bidi="uk-UA"/>
        </w:rPr>
        <w:t>:</w:t>
      </w:r>
    </w:p>
    <w:p w14:paraId="39E3C69B" w14:textId="77777777" w:rsidR="00746913" w:rsidRPr="00A6607D" w:rsidRDefault="00F3210A" w:rsidP="00256374">
      <w:pPr>
        <w:pStyle w:val="a6"/>
        <w:jc w:val="both"/>
        <w:rPr>
          <w:rFonts w:ascii="Times New Roman" w:hAnsi="Times New Roman" w:cs="Times New Roman"/>
          <w:u w:val="single"/>
          <w:lang w:bidi="uk-UA"/>
        </w:rPr>
      </w:pPr>
      <w:r w:rsidRPr="00A6607D">
        <w:rPr>
          <w:rFonts w:ascii="Times New Roman" w:hAnsi="Times New Roman" w:cs="Times New Roman"/>
          <w:spacing w:val="-12"/>
          <w:sz w:val="28"/>
          <w:szCs w:val="28"/>
          <w:lang w:bidi="uk-UA"/>
        </w:rPr>
        <w:tab/>
      </w:r>
    </w:p>
    <w:tbl>
      <w:tblPr>
        <w:tblStyle w:val="ae"/>
        <w:tblW w:w="10490" w:type="dxa"/>
        <w:jc w:val="center"/>
        <w:tblLayout w:type="fixed"/>
        <w:tblLook w:val="04A0" w:firstRow="1" w:lastRow="0" w:firstColumn="1" w:lastColumn="0" w:noHBand="0" w:noVBand="1"/>
      </w:tblPr>
      <w:tblGrid>
        <w:gridCol w:w="1271"/>
        <w:gridCol w:w="851"/>
        <w:gridCol w:w="905"/>
        <w:gridCol w:w="937"/>
        <w:gridCol w:w="851"/>
        <w:gridCol w:w="850"/>
        <w:gridCol w:w="851"/>
        <w:gridCol w:w="850"/>
        <w:gridCol w:w="851"/>
        <w:gridCol w:w="992"/>
        <w:gridCol w:w="1281"/>
      </w:tblGrid>
      <w:tr w:rsidR="004818BA" w:rsidRPr="00A6607D" w14:paraId="638912D1" w14:textId="77777777" w:rsidTr="002140F0">
        <w:trPr>
          <w:trHeight w:val="399"/>
          <w:jc w:val="center"/>
        </w:trPr>
        <w:tc>
          <w:tcPr>
            <w:tcW w:w="1271" w:type="dxa"/>
            <w:vAlign w:val="center"/>
          </w:tcPr>
          <w:p w14:paraId="4EA18AFC" w14:textId="77777777" w:rsidR="00453EF9" w:rsidRPr="00453EF9" w:rsidRDefault="00453EF9" w:rsidP="004818BA">
            <w:pPr>
              <w:rPr>
                <w:rFonts w:cs="Times New Roman"/>
                <w:b/>
                <w:bCs/>
                <w:sz w:val="16"/>
                <w:szCs w:val="16"/>
              </w:rPr>
            </w:pPr>
            <w:bookmarkStart w:id="8" w:name="_Hlk216342800"/>
            <w:r w:rsidRPr="00453EF9">
              <w:rPr>
                <w:rFonts w:cs="Times New Roman"/>
                <w:b/>
                <w:bCs/>
                <w:sz w:val="16"/>
                <w:szCs w:val="16"/>
              </w:rPr>
              <w:t>Партнер</w:t>
            </w:r>
          </w:p>
        </w:tc>
        <w:tc>
          <w:tcPr>
            <w:tcW w:w="851" w:type="dxa"/>
            <w:vAlign w:val="center"/>
          </w:tcPr>
          <w:p w14:paraId="265DC89B" w14:textId="77777777" w:rsidR="00453EF9" w:rsidRPr="00453EF9" w:rsidRDefault="00453EF9" w:rsidP="004818BA">
            <w:pPr>
              <w:jc w:val="center"/>
              <w:rPr>
                <w:rFonts w:cs="Times New Roman"/>
                <w:b/>
                <w:bCs/>
                <w:sz w:val="16"/>
                <w:szCs w:val="16"/>
              </w:rPr>
            </w:pPr>
            <w:r w:rsidRPr="00453EF9">
              <w:rPr>
                <w:rFonts w:cs="Times New Roman"/>
                <w:b/>
                <w:bCs/>
                <w:sz w:val="16"/>
                <w:szCs w:val="16"/>
              </w:rPr>
              <w:t>Підготовчі витрати</w:t>
            </w:r>
          </w:p>
        </w:tc>
        <w:tc>
          <w:tcPr>
            <w:tcW w:w="905" w:type="dxa"/>
            <w:vAlign w:val="center"/>
          </w:tcPr>
          <w:p w14:paraId="76E59ABA"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1</w:t>
            </w:r>
          </w:p>
        </w:tc>
        <w:tc>
          <w:tcPr>
            <w:tcW w:w="937" w:type="dxa"/>
            <w:vAlign w:val="center"/>
          </w:tcPr>
          <w:p w14:paraId="616DC927"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2</w:t>
            </w:r>
          </w:p>
        </w:tc>
        <w:tc>
          <w:tcPr>
            <w:tcW w:w="851" w:type="dxa"/>
            <w:vAlign w:val="center"/>
          </w:tcPr>
          <w:p w14:paraId="4BCAD979"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3</w:t>
            </w:r>
          </w:p>
        </w:tc>
        <w:tc>
          <w:tcPr>
            <w:tcW w:w="850" w:type="dxa"/>
            <w:vAlign w:val="center"/>
          </w:tcPr>
          <w:p w14:paraId="4005DDE9"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4</w:t>
            </w:r>
          </w:p>
        </w:tc>
        <w:tc>
          <w:tcPr>
            <w:tcW w:w="851" w:type="dxa"/>
            <w:vAlign w:val="center"/>
          </w:tcPr>
          <w:p w14:paraId="3C1EFD26"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5</w:t>
            </w:r>
          </w:p>
        </w:tc>
        <w:tc>
          <w:tcPr>
            <w:tcW w:w="850" w:type="dxa"/>
            <w:vAlign w:val="center"/>
          </w:tcPr>
          <w:p w14:paraId="0BE27BEA"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6</w:t>
            </w:r>
          </w:p>
        </w:tc>
        <w:tc>
          <w:tcPr>
            <w:tcW w:w="851" w:type="dxa"/>
            <w:vAlign w:val="center"/>
          </w:tcPr>
          <w:p w14:paraId="59A75CA3" w14:textId="7346B9AF" w:rsidR="00453EF9" w:rsidRPr="00453EF9" w:rsidRDefault="00453EF9" w:rsidP="004818BA">
            <w:pPr>
              <w:jc w:val="center"/>
              <w:rPr>
                <w:rFonts w:cs="Times New Roman"/>
                <w:b/>
                <w:bCs/>
                <w:sz w:val="16"/>
                <w:szCs w:val="16"/>
              </w:rPr>
            </w:pPr>
            <w:r w:rsidRPr="00453EF9">
              <w:rPr>
                <w:rFonts w:cs="Times New Roman"/>
                <w:b/>
                <w:bCs/>
                <w:sz w:val="16"/>
                <w:szCs w:val="16"/>
              </w:rPr>
              <w:t>Семестр 7</w:t>
            </w:r>
          </w:p>
        </w:tc>
        <w:tc>
          <w:tcPr>
            <w:tcW w:w="992" w:type="dxa"/>
            <w:vAlign w:val="center"/>
          </w:tcPr>
          <w:p w14:paraId="5CB38212" w14:textId="7B4E6602" w:rsidR="00453EF9" w:rsidRPr="00453EF9" w:rsidRDefault="00453EF9" w:rsidP="004818BA">
            <w:pPr>
              <w:jc w:val="center"/>
              <w:rPr>
                <w:rFonts w:cs="Times New Roman"/>
                <w:b/>
                <w:bCs/>
                <w:sz w:val="16"/>
                <w:szCs w:val="16"/>
              </w:rPr>
            </w:pPr>
            <w:r w:rsidRPr="00453EF9">
              <w:rPr>
                <w:rFonts w:cs="Times New Roman"/>
                <w:b/>
                <w:bCs/>
                <w:sz w:val="16"/>
                <w:szCs w:val="16"/>
              </w:rPr>
              <w:t>Семестр 8 та закриття</w:t>
            </w:r>
          </w:p>
        </w:tc>
        <w:tc>
          <w:tcPr>
            <w:tcW w:w="1281" w:type="dxa"/>
            <w:vAlign w:val="center"/>
          </w:tcPr>
          <w:p w14:paraId="0AB88312" w14:textId="2EC5289B" w:rsidR="00453EF9" w:rsidRPr="00453EF9" w:rsidRDefault="00453EF9" w:rsidP="004818BA">
            <w:pPr>
              <w:jc w:val="center"/>
              <w:rPr>
                <w:rFonts w:cs="Times New Roman"/>
                <w:b/>
                <w:bCs/>
                <w:sz w:val="16"/>
                <w:szCs w:val="16"/>
              </w:rPr>
            </w:pPr>
            <w:r w:rsidRPr="00453EF9">
              <w:rPr>
                <w:rFonts w:cs="Times New Roman"/>
                <w:b/>
                <w:bCs/>
                <w:sz w:val="16"/>
                <w:szCs w:val="16"/>
              </w:rPr>
              <w:t>ЗАГАЛЬНИЙ БЮДЖЕТ</w:t>
            </w:r>
          </w:p>
        </w:tc>
      </w:tr>
      <w:tr w:rsidR="004818BA" w:rsidRPr="00A6607D" w14:paraId="5DBC0A43" w14:textId="77777777" w:rsidTr="002140F0">
        <w:trPr>
          <w:trHeight w:val="198"/>
          <w:jc w:val="center"/>
        </w:trPr>
        <w:tc>
          <w:tcPr>
            <w:tcW w:w="1271" w:type="dxa"/>
            <w:vAlign w:val="center"/>
          </w:tcPr>
          <w:p w14:paraId="1CA3CE7E" w14:textId="77777777" w:rsidR="00453EF9" w:rsidRPr="00453EF9" w:rsidRDefault="00453EF9" w:rsidP="004818BA">
            <w:pPr>
              <w:rPr>
                <w:rFonts w:cs="Times New Roman"/>
                <w:b/>
                <w:bCs/>
                <w:sz w:val="16"/>
                <w:szCs w:val="16"/>
              </w:rPr>
            </w:pPr>
            <w:r w:rsidRPr="00453EF9">
              <w:rPr>
                <w:rFonts w:cs="Times New Roman"/>
                <w:sz w:val="16"/>
                <w:szCs w:val="16"/>
              </w:rPr>
              <w:t>LP01 IZES gGmbH</w:t>
            </w:r>
          </w:p>
        </w:tc>
        <w:tc>
          <w:tcPr>
            <w:tcW w:w="851" w:type="dxa"/>
            <w:vAlign w:val="center"/>
          </w:tcPr>
          <w:p w14:paraId="53358732" w14:textId="77777777" w:rsidR="00453EF9" w:rsidRPr="004818BA" w:rsidRDefault="00453EF9" w:rsidP="004818BA">
            <w:pPr>
              <w:jc w:val="center"/>
              <w:rPr>
                <w:rFonts w:cs="Times New Roman"/>
                <w:b/>
                <w:bCs/>
                <w:sz w:val="14"/>
                <w:szCs w:val="14"/>
              </w:rPr>
            </w:pPr>
            <w:r w:rsidRPr="004818BA">
              <w:rPr>
                <w:rFonts w:cs="Times New Roman"/>
                <w:sz w:val="14"/>
                <w:szCs w:val="14"/>
              </w:rPr>
              <w:t>17 500,00</w:t>
            </w:r>
          </w:p>
        </w:tc>
        <w:tc>
          <w:tcPr>
            <w:tcW w:w="905" w:type="dxa"/>
            <w:vAlign w:val="center"/>
          </w:tcPr>
          <w:p w14:paraId="479077AF" w14:textId="77777777" w:rsidR="00453EF9" w:rsidRPr="004818BA" w:rsidRDefault="00453EF9" w:rsidP="004818BA">
            <w:pPr>
              <w:jc w:val="center"/>
              <w:rPr>
                <w:rFonts w:cs="Times New Roman"/>
                <w:b/>
                <w:bCs/>
                <w:sz w:val="14"/>
                <w:szCs w:val="14"/>
              </w:rPr>
            </w:pPr>
            <w:r w:rsidRPr="004818BA">
              <w:rPr>
                <w:rFonts w:cs="Times New Roman"/>
                <w:sz w:val="14"/>
                <w:szCs w:val="14"/>
              </w:rPr>
              <w:t>43 010,00</w:t>
            </w:r>
          </w:p>
        </w:tc>
        <w:tc>
          <w:tcPr>
            <w:tcW w:w="937" w:type="dxa"/>
            <w:vAlign w:val="center"/>
          </w:tcPr>
          <w:p w14:paraId="0C4C4B58" w14:textId="77777777" w:rsidR="00453EF9" w:rsidRPr="004818BA" w:rsidRDefault="00453EF9" w:rsidP="004818BA">
            <w:pPr>
              <w:jc w:val="center"/>
              <w:rPr>
                <w:rFonts w:cs="Times New Roman"/>
                <w:b/>
                <w:bCs/>
                <w:sz w:val="14"/>
                <w:szCs w:val="14"/>
              </w:rPr>
            </w:pPr>
            <w:r w:rsidRPr="004818BA">
              <w:rPr>
                <w:rFonts w:cs="Times New Roman"/>
                <w:sz w:val="14"/>
                <w:szCs w:val="14"/>
              </w:rPr>
              <w:t>49 518,00</w:t>
            </w:r>
          </w:p>
        </w:tc>
        <w:tc>
          <w:tcPr>
            <w:tcW w:w="851" w:type="dxa"/>
            <w:vAlign w:val="center"/>
          </w:tcPr>
          <w:p w14:paraId="65F32F7B" w14:textId="77777777" w:rsidR="00453EF9" w:rsidRPr="004818BA" w:rsidRDefault="00453EF9" w:rsidP="004818BA">
            <w:pPr>
              <w:jc w:val="center"/>
              <w:rPr>
                <w:rFonts w:cs="Times New Roman"/>
                <w:b/>
                <w:bCs/>
                <w:sz w:val="14"/>
                <w:szCs w:val="14"/>
              </w:rPr>
            </w:pPr>
            <w:r w:rsidRPr="004818BA">
              <w:rPr>
                <w:rFonts w:cs="Times New Roman"/>
                <w:sz w:val="14"/>
                <w:szCs w:val="14"/>
              </w:rPr>
              <w:t>59 518,00</w:t>
            </w:r>
          </w:p>
        </w:tc>
        <w:tc>
          <w:tcPr>
            <w:tcW w:w="850" w:type="dxa"/>
            <w:vAlign w:val="center"/>
          </w:tcPr>
          <w:p w14:paraId="3D716A95" w14:textId="77777777" w:rsidR="00453EF9" w:rsidRPr="004818BA" w:rsidRDefault="00453EF9" w:rsidP="004818BA">
            <w:pPr>
              <w:jc w:val="center"/>
              <w:rPr>
                <w:rFonts w:cs="Times New Roman"/>
                <w:b/>
                <w:bCs/>
                <w:sz w:val="14"/>
                <w:szCs w:val="14"/>
              </w:rPr>
            </w:pPr>
            <w:r w:rsidRPr="004818BA">
              <w:rPr>
                <w:rFonts w:cs="Times New Roman"/>
                <w:sz w:val="14"/>
                <w:szCs w:val="14"/>
              </w:rPr>
              <w:t>59 518,00</w:t>
            </w:r>
          </w:p>
        </w:tc>
        <w:tc>
          <w:tcPr>
            <w:tcW w:w="851" w:type="dxa"/>
            <w:vAlign w:val="center"/>
          </w:tcPr>
          <w:p w14:paraId="4312BB5B" w14:textId="77777777" w:rsidR="00453EF9" w:rsidRPr="004818BA" w:rsidRDefault="00453EF9" w:rsidP="004818BA">
            <w:pPr>
              <w:jc w:val="center"/>
              <w:rPr>
                <w:rFonts w:cs="Times New Roman"/>
                <w:b/>
                <w:bCs/>
                <w:sz w:val="14"/>
                <w:szCs w:val="14"/>
              </w:rPr>
            </w:pPr>
            <w:r w:rsidRPr="004818BA">
              <w:rPr>
                <w:rFonts w:cs="Times New Roman"/>
                <w:sz w:val="14"/>
                <w:szCs w:val="14"/>
              </w:rPr>
              <w:t>59 518,00</w:t>
            </w:r>
          </w:p>
        </w:tc>
        <w:tc>
          <w:tcPr>
            <w:tcW w:w="850" w:type="dxa"/>
            <w:vAlign w:val="center"/>
          </w:tcPr>
          <w:p w14:paraId="40AA7B1C" w14:textId="77777777" w:rsidR="00453EF9" w:rsidRPr="004818BA" w:rsidRDefault="00453EF9" w:rsidP="004818BA">
            <w:pPr>
              <w:jc w:val="center"/>
              <w:rPr>
                <w:rFonts w:cs="Times New Roman"/>
                <w:b/>
                <w:bCs/>
                <w:sz w:val="14"/>
                <w:szCs w:val="14"/>
              </w:rPr>
            </w:pPr>
            <w:r w:rsidRPr="004818BA">
              <w:rPr>
                <w:rFonts w:cs="Times New Roman"/>
                <w:sz w:val="14"/>
                <w:szCs w:val="14"/>
              </w:rPr>
              <w:t>43 012,00</w:t>
            </w:r>
          </w:p>
        </w:tc>
        <w:tc>
          <w:tcPr>
            <w:tcW w:w="851" w:type="dxa"/>
            <w:vAlign w:val="center"/>
          </w:tcPr>
          <w:p w14:paraId="1B9E81E9" w14:textId="6D8221D4" w:rsidR="00453EF9" w:rsidRPr="004818BA" w:rsidRDefault="00453EF9" w:rsidP="004818BA">
            <w:pPr>
              <w:jc w:val="center"/>
              <w:rPr>
                <w:rFonts w:cs="Times New Roman"/>
                <w:sz w:val="14"/>
                <w:szCs w:val="14"/>
                <w:lang w:val="uk-UA"/>
              </w:rPr>
            </w:pPr>
            <w:r w:rsidRPr="004818BA">
              <w:rPr>
                <w:rFonts w:cs="Times New Roman"/>
                <w:sz w:val="14"/>
                <w:szCs w:val="14"/>
              </w:rPr>
              <w:t>43 012,00</w:t>
            </w:r>
          </w:p>
        </w:tc>
        <w:tc>
          <w:tcPr>
            <w:tcW w:w="992" w:type="dxa"/>
            <w:vAlign w:val="center"/>
          </w:tcPr>
          <w:p w14:paraId="0FC442C3" w14:textId="6797D76C" w:rsidR="00453EF9" w:rsidRPr="004818BA" w:rsidRDefault="002140F0" w:rsidP="002140F0">
            <w:pPr>
              <w:jc w:val="center"/>
              <w:rPr>
                <w:rFonts w:cs="Times New Roman"/>
                <w:sz w:val="14"/>
                <w:szCs w:val="14"/>
              </w:rPr>
            </w:pPr>
            <w:r w:rsidRPr="004818BA">
              <w:rPr>
                <w:rFonts w:cs="Times New Roman"/>
                <w:sz w:val="14"/>
                <w:szCs w:val="14"/>
              </w:rPr>
              <w:t>43 012,00</w:t>
            </w:r>
          </w:p>
        </w:tc>
        <w:tc>
          <w:tcPr>
            <w:tcW w:w="1281" w:type="dxa"/>
            <w:vAlign w:val="center"/>
          </w:tcPr>
          <w:p w14:paraId="6741ADF9" w14:textId="6D91DC7B" w:rsidR="00453EF9" w:rsidRPr="004818BA" w:rsidRDefault="00453EF9" w:rsidP="004818BA">
            <w:pPr>
              <w:jc w:val="center"/>
              <w:rPr>
                <w:rFonts w:cs="Times New Roman"/>
                <w:b/>
                <w:bCs/>
                <w:sz w:val="14"/>
                <w:szCs w:val="14"/>
              </w:rPr>
            </w:pPr>
            <w:r w:rsidRPr="004818BA">
              <w:rPr>
                <w:rFonts w:cs="Times New Roman"/>
                <w:sz w:val="14"/>
                <w:szCs w:val="14"/>
              </w:rPr>
              <w:t>417 618,00</w:t>
            </w:r>
          </w:p>
        </w:tc>
      </w:tr>
      <w:tr w:rsidR="004818BA" w:rsidRPr="00A6607D" w14:paraId="4CA91E94" w14:textId="77777777" w:rsidTr="002140F0">
        <w:trPr>
          <w:trHeight w:val="198"/>
          <w:jc w:val="center"/>
        </w:trPr>
        <w:tc>
          <w:tcPr>
            <w:tcW w:w="1271" w:type="dxa"/>
            <w:vAlign w:val="center"/>
          </w:tcPr>
          <w:p w14:paraId="11E2A042" w14:textId="77777777" w:rsidR="004818BA" w:rsidRPr="00453EF9" w:rsidRDefault="004818BA" w:rsidP="004818BA">
            <w:pPr>
              <w:rPr>
                <w:rFonts w:cs="Times New Roman"/>
                <w:b/>
                <w:bCs/>
                <w:sz w:val="16"/>
                <w:szCs w:val="16"/>
              </w:rPr>
            </w:pPr>
            <w:r w:rsidRPr="00453EF9">
              <w:rPr>
                <w:rFonts w:cs="Times New Roman"/>
                <w:sz w:val="16"/>
                <w:szCs w:val="16"/>
              </w:rPr>
              <w:t>PP02 Відземський плановий регіон</w:t>
            </w:r>
          </w:p>
        </w:tc>
        <w:tc>
          <w:tcPr>
            <w:tcW w:w="851" w:type="dxa"/>
            <w:vAlign w:val="center"/>
          </w:tcPr>
          <w:p w14:paraId="3E2AB761" w14:textId="77777777" w:rsidR="004818BA" w:rsidRPr="004818BA" w:rsidRDefault="004818BA" w:rsidP="004818BA">
            <w:pPr>
              <w:jc w:val="center"/>
              <w:rPr>
                <w:rFonts w:cs="Times New Roman"/>
                <w:b/>
                <w:bCs/>
                <w:sz w:val="14"/>
                <w:szCs w:val="14"/>
              </w:rPr>
            </w:pPr>
            <w:r w:rsidRPr="004818BA">
              <w:rPr>
                <w:rFonts w:cs="Times New Roman"/>
                <w:sz w:val="14"/>
                <w:szCs w:val="14"/>
              </w:rPr>
              <w:t>0,00</w:t>
            </w:r>
          </w:p>
        </w:tc>
        <w:tc>
          <w:tcPr>
            <w:tcW w:w="905" w:type="dxa"/>
            <w:vAlign w:val="center"/>
          </w:tcPr>
          <w:p w14:paraId="07C9CEF2" w14:textId="77777777" w:rsidR="004818BA" w:rsidRPr="004818BA" w:rsidRDefault="004818BA" w:rsidP="004818BA">
            <w:pPr>
              <w:jc w:val="center"/>
              <w:rPr>
                <w:rFonts w:cs="Times New Roman"/>
                <w:b/>
                <w:bCs/>
                <w:sz w:val="14"/>
                <w:szCs w:val="14"/>
              </w:rPr>
            </w:pPr>
            <w:r w:rsidRPr="004818BA">
              <w:rPr>
                <w:rFonts w:cs="Times New Roman"/>
                <w:sz w:val="14"/>
                <w:szCs w:val="14"/>
              </w:rPr>
              <w:t>20 550,00</w:t>
            </w:r>
          </w:p>
        </w:tc>
        <w:tc>
          <w:tcPr>
            <w:tcW w:w="937" w:type="dxa"/>
            <w:vAlign w:val="center"/>
          </w:tcPr>
          <w:p w14:paraId="6414D10F" w14:textId="77777777" w:rsidR="004818BA" w:rsidRPr="004818BA" w:rsidRDefault="004818BA" w:rsidP="004818BA">
            <w:pPr>
              <w:jc w:val="center"/>
              <w:rPr>
                <w:rFonts w:cs="Times New Roman"/>
                <w:b/>
                <w:bCs/>
                <w:sz w:val="14"/>
                <w:szCs w:val="14"/>
              </w:rPr>
            </w:pPr>
            <w:r w:rsidRPr="004818BA">
              <w:rPr>
                <w:rFonts w:cs="Times New Roman"/>
                <w:sz w:val="14"/>
                <w:szCs w:val="14"/>
              </w:rPr>
              <w:t>30 821,00</w:t>
            </w:r>
          </w:p>
        </w:tc>
        <w:tc>
          <w:tcPr>
            <w:tcW w:w="851" w:type="dxa"/>
            <w:vAlign w:val="center"/>
          </w:tcPr>
          <w:p w14:paraId="0DA520AB" w14:textId="77777777" w:rsidR="004818BA" w:rsidRPr="004818BA" w:rsidRDefault="004818BA" w:rsidP="004818BA">
            <w:pPr>
              <w:jc w:val="center"/>
              <w:rPr>
                <w:rFonts w:cs="Times New Roman"/>
                <w:b/>
                <w:bCs/>
                <w:sz w:val="14"/>
                <w:szCs w:val="14"/>
              </w:rPr>
            </w:pPr>
            <w:r w:rsidRPr="004818BA">
              <w:rPr>
                <w:rFonts w:cs="Times New Roman"/>
                <w:sz w:val="14"/>
                <w:szCs w:val="14"/>
              </w:rPr>
              <w:t>30 825,00</w:t>
            </w:r>
          </w:p>
        </w:tc>
        <w:tc>
          <w:tcPr>
            <w:tcW w:w="850" w:type="dxa"/>
            <w:vAlign w:val="center"/>
          </w:tcPr>
          <w:p w14:paraId="12E2E909" w14:textId="77777777" w:rsidR="004818BA" w:rsidRPr="004818BA" w:rsidRDefault="004818BA" w:rsidP="004818BA">
            <w:pPr>
              <w:jc w:val="center"/>
              <w:rPr>
                <w:rFonts w:cs="Times New Roman"/>
                <w:b/>
                <w:bCs/>
                <w:sz w:val="14"/>
                <w:szCs w:val="14"/>
              </w:rPr>
            </w:pPr>
            <w:r w:rsidRPr="004818BA">
              <w:rPr>
                <w:rFonts w:cs="Times New Roman"/>
                <w:sz w:val="14"/>
                <w:szCs w:val="14"/>
              </w:rPr>
              <w:t>30 825,00</w:t>
            </w:r>
          </w:p>
        </w:tc>
        <w:tc>
          <w:tcPr>
            <w:tcW w:w="851" w:type="dxa"/>
            <w:vAlign w:val="center"/>
          </w:tcPr>
          <w:p w14:paraId="2612B87E" w14:textId="77777777" w:rsidR="004818BA" w:rsidRPr="004818BA" w:rsidRDefault="004818BA" w:rsidP="004818BA">
            <w:pPr>
              <w:jc w:val="center"/>
              <w:rPr>
                <w:rFonts w:cs="Times New Roman"/>
                <w:b/>
                <w:bCs/>
                <w:sz w:val="14"/>
                <w:szCs w:val="14"/>
              </w:rPr>
            </w:pPr>
            <w:r w:rsidRPr="004818BA">
              <w:rPr>
                <w:rFonts w:cs="Times New Roman"/>
                <w:sz w:val="14"/>
                <w:szCs w:val="14"/>
              </w:rPr>
              <w:t>41 100,00</w:t>
            </w:r>
          </w:p>
        </w:tc>
        <w:tc>
          <w:tcPr>
            <w:tcW w:w="850" w:type="dxa"/>
            <w:vAlign w:val="center"/>
          </w:tcPr>
          <w:p w14:paraId="373C726C" w14:textId="77777777" w:rsidR="004818BA" w:rsidRPr="004818BA" w:rsidRDefault="004818BA" w:rsidP="004818BA">
            <w:pPr>
              <w:jc w:val="center"/>
              <w:rPr>
                <w:rFonts w:cs="Times New Roman"/>
                <w:b/>
                <w:bCs/>
                <w:sz w:val="14"/>
                <w:szCs w:val="14"/>
              </w:rPr>
            </w:pPr>
            <w:r w:rsidRPr="004818BA">
              <w:rPr>
                <w:rFonts w:cs="Times New Roman"/>
                <w:sz w:val="14"/>
                <w:szCs w:val="14"/>
              </w:rPr>
              <w:t>30 825,00</w:t>
            </w:r>
          </w:p>
        </w:tc>
        <w:tc>
          <w:tcPr>
            <w:tcW w:w="851" w:type="dxa"/>
            <w:vAlign w:val="center"/>
          </w:tcPr>
          <w:p w14:paraId="01E695E7" w14:textId="0BACB9B5" w:rsidR="004818BA" w:rsidRPr="004818BA" w:rsidRDefault="002140F0" w:rsidP="002140F0">
            <w:pPr>
              <w:jc w:val="center"/>
              <w:rPr>
                <w:rFonts w:cs="Times New Roman"/>
                <w:sz w:val="14"/>
                <w:szCs w:val="14"/>
                <w:lang w:val="uk-UA"/>
              </w:rPr>
            </w:pPr>
            <w:r w:rsidRPr="004818BA">
              <w:rPr>
                <w:rFonts w:cs="Times New Roman"/>
                <w:sz w:val="14"/>
                <w:szCs w:val="14"/>
                <w:lang w:val="uk-UA"/>
              </w:rPr>
              <w:t>10</w:t>
            </w:r>
            <w:r>
              <w:rPr>
                <w:rFonts w:cs="Times New Roman"/>
                <w:sz w:val="14"/>
                <w:szCs w:val="14"/>
                <w:lang w:val="uk-UA"/>
              </w:rPr>
              <w:t xml:space="preserve"> </w:t>
            </w:r>
            <w:r w:rsidRPr="004818BA">
              <w:rPr>
                <w:rFonts w:cs="Times New Roman"/>
                <w:sz w:val="14"/>
                <w:szCs w:val="14"/>
                <w:lang w:val="uk-UA"/>
              </w:rPr>
              <w:t>275,00</w:t>
            </w:r>
          </w:p>
        </w:tc>
        <w:tc>
          <w:tcPr>
            <w:tcW w:w="992" w:type="dxa"/>
            <w:vAlign w:val="center"/>
          </w:tcPr>
          <w:p w14:paraId="37E82F2F" w14:textId="7C5D1C4F" w:rsidR="004818BA" w:rsidRPr="004818BA" w:rsidRDefault="004818BA" w:rsidP="002140F0">
            <w:pPr>
              <w:jc w:val="center"/>
              <w:rPr>
                <w:rFonts w:cs="Times New Roman"/>
                <w:sz w:val="14"/>
                <w:szCs w:val="14"/>
              </w:rPr>
            </w:pPr>
            <w:r w:rsidRPr="004818BA">
              <w:rPr>
                <w:rFonts w:cs="Times New Roman"/>
                <w:sz w:val="14"/>
                <w:szCs w:val="14"/>
                <w:lang w:val="uk-UA"/>
              </w:rPr>
              <w:t>10</w:t>
            </w:r>
            <w:r>
              <w:rPr>
                <w:rFonts w:cs="Times New Roman"/>
                <w:sz w:val="14"/>
                <w:szCs w:val="14"/>
                <w:lang w:val="uk-UA"/>
              </w:rPr>
              <w:t xml:space="preserve"> </w:t>
            </w:r>
            <w:r w:rsidRPr="004818BA">
              <w:rPr>
                <w:rFonts w:cs="Times New Roman"/>
                <w:sz w:val="14"/>
                <w:szCs w:val="14"/>
                <w:lang w:val="uk-UA"/>
              </w:rPr>
              <w:t>275,00</w:t>
            </w:r>
          </w:p>
        </w:tc>
        <w:tc>
          <w:tcPr>
            <w:tcW w:w="1281" w:type="dxa"/>
            <w:vAlign w:val="center"/>
          </w:tcPr>
          <w:p w14:paraId="24FE5900" w14:textId="7741F1DA" w:rsidR="004818BA" w:rsidRPr="004818BA" w:rsidRDefault="004818BA" w:rsidP="004818BA">
            <w:pPr>
              <w:jc w:val="center"/>
              <w:rPr>
                <w:rFonts w:cs="Times New Roman"/>
                <w:b/>
                <w:bCs/>
                <w:sz w:val="14"/>
                <w:szCs w:val="14"/>
              </w:rPr>
            </w:pPr>
            <w:r w:rsidRPr="004818BA">
              <w:rPr>
                <w:rFonts w:cs="Times New Roman"/>
                <w:sz w:val="14"/>
                <w:szCs w:val="14"/>
              </w:rPr>
              <w:t>205 496,00</w:t>
            </w:r>
          </w:p>
        </w:tc>
      </w:tr>
      <w:tr w:rsidR="004818BA" w:rsidRPr="00A6607D" w14:paraId="19E58D95" w14:textId="77777777" w:rsidTr="002140F0">
        <w:trPr>
          <w:trHeight w:val="399"/>
          <w:jc w:val="center"/>
        </w:trPr>
        <w:tc>
          <w:tcPr>
            <w:tcW w:w="1271" w:type="dxa"/>
            <w:vAlign w:val="center"/>
          </w:tcPr>
          <w:p w14:paraId="0F06FBD8" w14:textId="77777777" w:rsidR="004818BA" w:rsidRPr="00453EF9" w:rsidRDefault="004818BA" w:rsidP="004818BA">
            <w:pPr>
              <w:rPr>
                <w:rFonts w:cs="Times New Roman"/>
                <w:b/>
                <w:bCs/>
                <w:sz w:val="16"/>
                <w:szCs w:val="16"/>
              </w:rPr>
            </w:pPr>
            <w:r w:rsidRPr="00453EF9">
              <w:rPr>
                <w:rFonts w:cs="Times New Roman"/>
                <w:sz w:val="16"/>
                <w:szCs w:val="16"/>
              </w:rPr>
              <w:t>PP03 Маршалатство Мазовецького воєводства у Варшаві / Мазовецьке воєводство</w:t>
            </w:r>
          </w:p>
        </w:tc>
        <w:tc>
          <w:tcPr>
            <w:tcW w:w="851" w:type="dxa"/>
            <w:vAlign w:val="center"/>
          </w:tcPr>
          <w:p w14:paraId="19F84C69" w14:textId="77777777" w:rsidR="004818BA" w:rsidRPr="004818BA" w:rsidRDefault="004818BA" w:rsidP="004818BA">
            <w:pPr>
              <w:jc w:val="center"/>
              <w:rPr>
                <w:rFonts w:cs="Times New Roman"/>
                <w:b/>
                <w:bCs/>
                <w:sz w:val="14"/>
                <w:szCs w:val="14"/>
              </w:rPr>
            </w:pPr>
            <w:r w:rsidRPr="004818BA">
              <w:rPr>
                <w:rFonts w:cs="Times New Roman"/>
                <w:sz w:val="14"/>
                <w:szCs w:val="14"/>
              </w:rPr>
              <w:t>0,00</w:t>
            </w:r>
          </w:p>
        </w:tc>
        <w:tc>
          <w:tcPr>
            <w:tcW w:w="905" w:type="dxa"/>
            <w:vAlign w:val="center"/>
          </w:tcPr>
          <w:p w14:paraId="659821CC" w14:textId="77777777" w:rsidR="004818BA" w:rsidRPr="004818BA" w:rsidRDefault="004818BA" w:rsidP="004818BA">
            <w:pPr>
              <w:jc w:val="center"/>
              <w:rPr>
                <w:rFonts w:cs="Times New Roman"/>
                <w:b/>
                <w:bCs/>
                <w:sz w:val="14"/>
                <w:szCs w:val="14"/>
              </w:rPr>
            </w:pPr>
            <w:r w:rsidRPr="004818BA">
              <w:rPr>
                <w:rFonts w:cs="Times New Roman"/>
                <w:sz w:val="14"/>
                <w:szCs w:val="14"/>
              </w:rPr>
              <w:t>23 241,00</w:t>
            </w:r>
          </w:p>
        </w:tc>
        <w:tc>
          <w:tcPr>
            <w:tcW w:w="937" w:type="dxa"/>
            <w:vAlign w:val="center"/>
          </w:tcPr>
          <w:p w14:paraId="18557E28"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1" w:type="dxa"/>
            <w:vAlign w:val="center"/>
          </w:tcPr>
          <w:p w14:paraId="22D57F5A"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0" w:type="dxa"/>
            <w:vAlign w:val="center"/>
          </w:tcPr>
          <w:p w14:paraId="738369B9"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1" w:type="dxa"/>
            <w:vAlign w:val="center"/>
          </w:tcPr>
          <w:p w14:paraId="137BC9BB" w14:textId="77777777" w:rsidR="004818BA" w:rsidRPr="004818BA" w:rsidRDefault="004818BA" w:rsidP="004818BA">
            <w:pPr>
              <w:jc w:val="center"/>
              <w:rPr>
                <w:rFonts w:cs="Times New Roman"/>
                <w:b/>
                <w:bCs/>
                <w:sz w:val="14"/>
                <w:szCs w:val="14"/>
              </w:rPr>
            </w:pPr>
            <w:r w:rsidRPr="004818BA">
              <w:rPr>
                <w:rFonts w:cs="Times New Roman"/>
                <w:sz w:val="14"/>
                <w:szCs w:val="14"/>
              </w:rPr>
              <w:t>46 486,00</w:t>
            </w:r>
          </w:p>
        </w:tc>
        <w:tc>
          <w:tcPr>
            <w:tcW w:w="850" w:type="dxa"/>
            <w:vAlign w:val="center"/>
          </w:tcPr>
          <w:p w14:paraId="0EF6D797"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1" w:type="dxa"/>
            <w:vAlign w:val="center"/>
          </w:tcPr>
          <w:p w14:paraId="6475B459" w14:textId="420AD83D" w:rsidR="004818BA" w:rsidRPr="004818BA" w:rsidRDefault="004818BA" w:rsidP="004818BA">
            <w:pPr>
              <w:jc w:val="center"/>
              <w:rPr>
                <w:rFonts w:cs="Times New Roman"/>
                <w:sz w:val="14"/>
                <w:szCs w:val="14"/>
              </w:rPr>
            </w:pPr>
            <w:r w:rsidRPr="004818BA">
              <w:rPr>
                <w:rFonts w:cs="Times New Roman"/>
                <w:sz w:val="14"/>
                <w:szCs w:val="14"/>
              </w:rPr>
              <w:t>11 622,00</w:t>
            </w:r>
          </w:p>
        </w:tc>
        <w:tc>
          <w:tcPr>
            <w:tcW w:w="992" w:type="dxa"/>
            <w:vAlign w:val="center"/>
          </w:tcPr>
          <w:p w14:paraId="43114269" w14:textId="08334496" w:rsidR="004818BA" w:rsidRPr="004818BA" w:rsidRDefault="004818BA" w:rsidP="004818BA">
            <w:pPr>
              <w:jc w:val="center"/>
              <w:rPr>
                <w:rFonts w:cs="Times New Roman"/>
                <w:sz w:val="14"/>
                <w:szCs w:val="14"/>
              </w:rPr>
            </w:pPr>
            <w:r w:rsidRPr="004818BA">
              <w:rPr>
                <w:rFonts w:cs="Times New Roman"/>
                <w:sz w:val="14"/>
                <w:szCs w:val="14"/>
              </w:rPr>
              <w:t>11 622,00</w:t>
            </w:r>
          </w:p>
        </w:tc>
        <w:tc>
          <w:tcPr>
            <w:tcW w:w="1281" w:type="dxa"/>
            <w:vAlign w:val="center"/>
          </w:tcPr>
          <w:p w14:paraId="2EB9685D" w14:textId="6166E2A2" w:rsidR="004818BA" w:rsidRPr="004818BA" w:rsidRDefault="004818BA" w:rsidP="004818BA">
            <w:pPr>
              <w:jc w:val="center"/>
              <w:rPr>
                <w:rFonts w:cs="Times New Roman"/>
                <w:b/>
                <w:bCs/>
                <w:sz w:val="14"/>
                <w:szCs w:val="14"/>
              </w:rPr>
            </w:pPr>
            <w:r w:rsidRPr="004818BA">
              <w:rPr>
                <w:rFonts w:cs="Times New Roman"/>
                <w:sz w:val="14"/>
                <w:szCs w:val="14"/>
              </w:rPr>
              <w:t>232 431,00</w:t>
            </w:r>
          </w:p>
        </w:tc>
      </w:tr>
      <w:tr w:rsidR="004818BA" w:rsidRPr="00A6607D" w14:paraId="53C1D2C8" w14:textId="77777777" w:rsidTr="002140F0">
        <w:trPr>
          <w:trHeight w:val="198"/>
          <w:jc w:val="center"/>
        </w:trPr>
        <w:tc>
          <w:tcPr>
            <w:tcW w:w="1271" w:type="dxa"/>
            <w:vAlign w:val="center"/>
          </w:tcPr>
          <w:p w14:paraId="16753FC9" w14:textId="77777777" w:rsidR="00453EF9" w:rsidRPr="00453EF9" w:rsidRDefault="00453EF9" w:rsidP="004818BA">
            <w:pPr>
              <w:rPr>
                <w:rFonts w:cs="Times New Roman"/>
                <w:b/>
                <w:bCs/>
                <w:sz w:val="16"/>
                <w:szCs w:val="16"/>
              </w:rPr>
            </w:pPr>
            <w:r w:rsidRPr="00453EF9">
              <w:rPr>
                <w:rFonts w:cs="Times New Roman"/>
                <w:sz w:val="16"/>
                <w:szCs w:val="16"/>
              </w:rPr>
              <w:t>PP04 Регіон Західна Македонія</w:t>
            </w:r>
          </w:p>
        </w:tc>
        <w:tc>
          <w:tcPr>
            <w:tcW w:w="851" w:type="dxa"/>
            <w:vAlign w:val="center"/>
          </w:tcPr>
          <w:p w14:paraId="2B1CAD68"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063528C8" w14:textId="77777777" w:rsidR="00453EF9" w:rsidRPr="004818BA" w:rsidRDefault="00453EF9" w:rsidP="004818BA">
            <w:pPr>
              <w:jc w:val="center"/>
              <w:rPr>
                <w:rFonts w:cs="Times New Roman"/>
                <w:b/>
                <w:bCs/>
                <w:sz w:val="14"/>
                <w:szCs w:val="14"/>
              </w:rPr>
            </w:pPr>
            <w:r w:rsidRPr="004818BA">
              <w:rPr>
                <w:rFonts w:cs="Times New Roman"/>
                <w:sz w:val="14"/>
                <w:szCs w:val="14"/>
              </w:rPr>
              <w:t>22 898,00</w:t>
            </w:r>
          </w:p>
        </w:tc>
        <w:tc>
          <w:tcPr>
            <w:tcW w:w="937" w:type="dxa"/>
            <w:vAlign w:val="center"/>
          </w:tcPr>
          <w:p w14:paraId="406A2466"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1" w:type="dxa"/>
            <w:vAlign w:val="center"/>
          </w:tcPr>
          <w:p w14:paraId="4303292F"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0" w:type="dxa"/>
            <w:vAlign w:val="center"/>
          </w:tcPr>
          <w:p w14:paraId="6B4FB887"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1" w:type="dxa"/>
            <w:vAlign w:val="center"/>
          </w:tcPr>
          <w:p w14:paraId="6C6705AE" w14:textId="77777777" w:rsidR="00453EF9" w:rsidRPr="004818BA" w:rsidRDefault="00453EF9" w:rsidP="004818BA">
            <w:pPr>
              <w:jc w:val="center"/>
              <w:rPr>
                <w:rFonts w:cs="Times New Roman"/>
                <w:b/>
                <w:bCs/>
                <w:sz w:val="14"/>
                <w:szCs w:val="14"/>
              </w:rPr>
            </w:pPr>
            <w:r w:rsidRPr="004818BA">
              <w:rPr>
                <w:rFonts w:cs="Times New Roman"/>
                <w:sz w:val="14"/>
                <w:szCs w:val="14"/>
              </w:rPr>
              <w:t>45 800,00</w:t>
            </w:r>
          </w:p>
        </w:tc>
        <w:tc>
          <w:tcPr>
            <w:tcW w:w="850" w:type="dxa"/>
            <w:vAlign w:val="center"/>
          </w:tcPr>
          <w:p w14:paraId="4751E11E"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1" w:type="dxa"/>
            <w:vAlign w:val="center"/>
          </w:tcPr>
          <w:p w14:paraId="6DE73963" w14:textId="37DF6503" w:rsidR="00453EF9" w:rsidRPr="004818BA" w:rsidRDefault="00453EF9" w:rsidP="004818BA">
            <w:pPr>
              <w:jc w:val="center"/>
              <w:rPr>
                <w:rFonts w:cs="Times New Roman"/>
                <w:sz w:val="14"/>
                <w:szCs w:val="14"/>
              </w:rPr>
            </w:pPr>
            <w:r w:rsidRPr="004818BA">
              <w:rPr>
                <w:rFonts w:cs="Times New Roman"/>
                <w:sz w:val="14"/>
                <w:szCs w:val="14"/>
              </w:rPr>
              <w:t>11 450,00</w:t>
            </w:r>
          </w:p>
        </w:tc>
        <w:tc>
          <w:tcPr>
            <w:tcW w:w="992" w:type="dxa"/>
            <w:vAlign w:val="center"/>
          </w:tcPr>
          <w:p w14:paraId="5413E995" w14:textId="1032F2EB" w:rsidR="00453EF9" w:rsidRPr="004818BA" w:rsidRDefault="00453EF9" w:rsidP="004818BA">
            <w:pPr>
              <w:jc w:val="center"/>
              <w:rPr>
                <w:rFonts w:cs="Times New Roman"/>
                <w:sz w:val="14"/>
                <w:szCs w:val="14"/>
              </w:rPr>
            </w:pPr>
            <w:r w:rsidRPr="004818BA">
              <w:rPr>
                <w:rFonts w:cs="Times New Roman"/>
                <w:sz w:val="14"/>
                <w:szCs w:val="14"/>
              </w:rPr>
              <w:t>11 450,00</w:t>
            </w:r>
          </w:p>
        </w:tc>
        <w:tc>
          <w:tcPr>
            <w:tcW w:w="1281" w:type="dxa"/>
            <w:vAlign w:val="center"/>
          </w:tcPr>
          <w:p w14:paraId="2B360DF2" w14:textId="082D7CA8" w:rsidR="00453EF9" w:rsidRPr="004818BA" w:rsidRDefault="00453EF9" w:rsidP="004818BA">
            <w:pPr>
              <w:jc w:val="center"/>
              <w:rPr>
                <w:rFonts w:cs="Times New Roman"/>
                <w:b/>
                <w:bCs/>
                <w:sz w:val="14"/>
                <w:szCs w:val="14"/>
              </w:rPr>
            </w:pPr>
            <w:r w:rsidRPr="004818BA">
              <w:rPr>
                <w:rFonts w:cs="Times New Roman"/>
                <w:sz w:val="14"/>
                <w:szCs w:val="14"/>
              </w:rPr>
              <w:t>228 998,00</w:t>
            </w:r>
          </w:p>
        </w:tc>
      </w:tr>
      <w:tr w:rsidR="004818BA" w:rsidRPr="00A6607D" w14:paraId="1894FD0B" w14:textId="77777777" w:rsidTr="002140F0">
        <w:trPr>
          <w:trHeight w:val="399"/>
          <w:jc w:val="center"/>
        </w:trPr>
        <w:tc>
          <w:tcPr>
            <w:tcW w:w="1271" w:type="dxa"/>
            <w:vAlign w:val="center"/>
          </w:tcPr>
          <w:p w14:paraId="4DC022A4" w14:textId="77777777" w:rsidR="00453EF9" w:rsidRPr="00453EF9" w:rsidRDefault="00453EF9" w:rsidP="004818BA">
            <w:pPr>
              <w:rPr>
                <w:rFonts w:cs="Times New Roman"/>
                <w:b/>
                <w:bCs/>
                <w:sz w:val="16"/>
                <w:szCs w:val="16"/>
              </w:rPr>
            </w:pPr>
            <w:r w:rsidRPr="00453EF9">
              <w:rPr>
                <w:rFonts w:cs="Times New Roman"/>
                <w:sz w:val="16"/>
                <w:szCs w:val="16"/>
              </w:rPr>
              <w:t>AP05 Міжнародне товариство сонячної енергетики, Німецький відділ</w:t>
            </w:r>
          </w:p>
        </w:tc>
        <w:tc>
          <w:tcPr>
            <w:tcW w:w="851" w:type="dxa"/>
            <w:vAlign w:val="center"/>
          </w:tcPr>
          <w:p w14:paraId="5EFDBB34"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47039A9F" w14:textId="77777777" w:rsidR="00453EF9" w:rsidRPr="004818BA" w:rsidRDefault="00453EF9" w:rsidP="004818BA">
            <w:pPr>
              <w:jc w:val="center"/>
              <w:rPr>
                <w:rFonts w:cs="Times New Roman"/>
                <w:b/>
                <w:bCs/>
                <w:sz w:val="14"/>
                <w:szCs w:val="14"/>
              </w:rPr>
            </w:pPr>
            <w:r w:rsidRPr="004818BA">
              <w:rPr>
                <w:rFonts w:cs="Times New Roman"/>
                <w:sz w:val="14"/>
                <w:szCs w:val="14"/>
              </w:rPr>
              <w:t>32 798,00</w:t>
            </w:r>
          </w:p>
        </w:tc>
        <w:tc>
          <w:tcPr>
            <w:tcW w:w="937" w:type="dxa"/>
            <w:vAlign w:val="center"/>
          </w:tcPr>
          <w:p w14:paraId="704FB2B4" w14:textId="77777777" w:rsidR="00453EF9" w:rsidRPr="004818BA" w:rsidRDefault="00453EF9" w:rsidP="004818BA">
            <w:pPr>
              <w:jc w:val="center"/>
              <w:rPr>
                <w:rFonts w:cs="Times New Roman"/>
                <w:b/>
                <w:bCs/>
                <w:sz w:val="14"/>
                <w:szCs w:val="14"/>
              </w:rPr>
            </w:pPr>
            <w:r w:rsidRPr="004818BA">
              <w:rPr>
                <w:rFonts w:cs="Times New Roman"/>
                <w:sz w:val="14"/>
                <w:szCs w:val="14"/>
              </w:rPr>
              <w:t>24 600,00</w:t>
            </w:r>
          </w:p>
        </w:tc>
        <w:tc>
          <w:tcPr>
            <w:tcW w:w="851" w:type="dxa"/>
            <w:vAlign w:val="center"/>
          </w:tcPr>
          <w:p w14:paraId="3C87A7A4" w14:textId="77777777" w:rsidR="00453EF9" w:rsidRPr="004818BA" w:rsidRDefault="00453EF9" w:rsidP="004818BA">
            <w:pPr>
              <w:jc w:val="center"/>
              <w:rPr>
                <w:rFonts w:cs="Times New Roman"/>
                <w:b/>
                <w:bCs/>
                <w:sz w:val="14"/>
                <w:szCs w:val="14"/>
              </w:rPr>
            </w:pPr>
            <w:r w:rsidRPr="004818BA">
              <w:rPr>
                <w:rFonts w:cs="Times New Roman"/>
                <w:sz w:val="14"/>
                <w:szCs w:val="14"/>
              </w:rPr>
              <w:t>32 800,00</w:t>
            </w:r>
          </w:p>
        </w:tc>
        <w:tc>
          <w:tcPr>
            <w:tcW w:w="850" w:type="dxa"/>
            <w:vAlign w:val="center"/>
          </w:tcPr>
          <w:p w14:paraId="3B3708FC" w14:textId="77777777" w:rsidR="00453EF9" w:rsidRPr="004818BA" w:rsidRDefault="00453EF9" w:rsidP="004818BA">
            <w:pPr>
              <w:jc w:val="center"/>
              <w:rPr>
                <w:rFonts w:cs="Times New Roman"/>
                <w:b/>
                <w:bCs/>
                <w:sz w:val="14"/>
                <w:szCs w:val="14"/>
              </w:rPr>
            </w:pPr>
            <w:r w:rsidRPr="004818BA">
              <w:rPr>
                <w:rFonts w:cs="Times New Roman"/>
                <w:sz w:val="14"/>
                <w:szCs w:val="14"/>
              </w:rPr>
              <w:t>32 800,00</w:t>
            </w:r>
          </w:p>
        </w:tc>
        <w:tc>
          <w:tcPr>
            <w:tcW w:w="851" w:type="dxa"/>
            <w:vAlign w:val="center"/>
          </w:tcPr>
          <w:p w14:paraId="49606D2F" w14:textId="77777777" w:rsidR="00453EF9" w:rsidRPr="004818BA" w:rsidRDefault="00453EF9" w:rsidP="004818BA">
            <w:pPr>
              <w:jc w:val="center"/>
              <w:rPr>
                <w:rFonts w:cs="Times New Roman"/>
                <w:b/>
                <w:bCs/>
                <w:sz w:val="14"/>
                <w:szCs w:val="14"/>
              </w:rPr>
            </w:pPr>
            <w:r w:rsidRPr="004818BA">
              <w:rPr>
                <w:rFonts w:cs="Times New Roman"/>
                <w:sz w:val="14"/>
                <w:szCs w:val="14"/>
              </w:rPr>
              <w:t>16 400,00</w:t>
            </w:r>
          </w:p>
        </w:tc>
        <w:tc>
          <w:tcPr>
            <w:tcW w:w="850" w:type="dxa"/>
            <w:vAlign w:val="center"/>
          </w:tcPr>
          <w:p w14:paraId="13498269" w14:textId="77777777" w:rsidR="00453EF9" w:rsidRPr="004818BA" w:rsidRDefault="00453EF9" w:rsidP="004818BA">
            <w:pPr>
              <w:jc w:val="center"/>
              <w:rPr>
                <w:rFonts w:cs="Times New Roman"/>
                <w:b/>
                <w:bCs/>
                <w:sz w:val="14"/>
                <w:szCs w:val="14"/>
              </w:rPr>
            </w:pPr>
            <w:r w:rsidRPr="004818BA">
              <w:rPr>
                <w:rFonts w:cs="Times New Roman"/>
                <w:sz w:val="14"/>
                <w:szCs w:val="14"/>
              </w:rPr>
              <w:t>8 200,00</w:t>
            </w:r>
          </w:p>
        </w:tc>
        <w:tc>
          <w:tcPr>
            <w:tcW w:w="851" w:type="dxa"/>
            <w:vAlign w:val="center"/>
          </w:tcPr>
          <w:p w14:paraId="1802D6EE" w14:textId="0D9DD826" w:rsidR="00453EF9" w:rsidRPr="004818BA" w:rsidRDefault="00453EF9" w:rsidP="004818BA">
            <w:pPr>
              <w:jc w:val="center"/>
              <w:rPr>
                <w:rFonts w:cs="Times New Roman"/>
                <w:sz w:val="14"/>
                <w:szCs w:val="14"/>
              </w:rPr>
            </w:pPr>
            <w:r w:rsidRPr="004818BA">
              <w:rPr>
                <w:rFonts w:cs="Times New Roman"/>
                <w:sz w:val="14"/>
                <w:szCs w:val="14"/>
              </w:rPr>
              <w:t>8 200,00</w:t>
            </w:r>
          </w:p>
        </w:tc>
        <w:tc>
          <w:tcPr>
            <w:tcW w:w="992" w:type="dxa"/>
            <w:vAlign w:val="center"/>
          </w:tcPr>
          <w:p w14:paraId="41591735" w14:textId="7B79D4CF" w:rsidR="00453EF9" w:rsidRPr="004818BA" w:rsidRDefault="00453EF9" w:rsidP="004818BA">
            <w:pPr>
              <w:jc w:val="center"/>
              <w:rPr>
                <w:rFonts w:cs="Times New Roman"/>
                <w:sz w:val="14"/>
                <w:szCs w:val="14"/>
              </w:rPr>
            </w:pPr>
            <w:r w:rsidRPr="004818BA">
              <w:rPr>
                <w:rFonts w:cs="Times New Roman"/>
                <w:sz w:val="14"/>
                <w:szCs w:val="14"/>
              </w:rPr>
              <w:t>8 200,00</w:t>
            </w:r>
          </w:p>
        </w:tc>
        <w:tc>
          <w:tcPr>
            <w:tcW w:w="1281" w:type="dxa"/>
            <w:vAlign w:val="center"/>
          </w:tcPr>
          <w:p w14:paraId="061CC3ED" w14:textId="1AF4EDF2" w:rsidR="00453EF9" w:rsidRPr="004818BA" w:rsidRDefault="00453EF9" w:rsidP="004818BA">
            <w:pPr>
              <w:jc w:val="center"/>
              <w:rPr>
                <w:rFonts w:cs="Times New Roman"/>
                <w:b/>
                <w:bCs/>
                <w:sz w:val="14"/>
                <w:szCs w:val="14"/>
              </w:rPr>
            </w:pPr>
            <w:r w:rsidRPr="004818BA">
              <w:rPr>
                <w:rFonts w:cs="Times New Roman"/>
                <w:sz w:val="14"/>
                <w:szCs w:val="14"/>
              </w:rPr>
              <w:t>163 998,00</w:t>
            </w:r>
          </w:p>
        </w:tc>
      </w:tr>
      <w:tr w:rsidR="004818BA" w:rsidRPr="00A6607D" w14:paraId="55F472B1" w14:textId="77777777" w:rsidTr="002140F0">
        <w:trPr>
          <w:trHeight w:val="410"/>
          <w:jc w:val="center"/>
        </w:trPr>
        <w:tc>
          <w:tcPr>
            <w:tcW w:w="1271" w:type="dxa"/>
            <w:vAlign w:val="center"/>
          </w:tcPr>
          <w:p w14:paraId="26BC4D57" w14:textId="77777777" w:rsidR="00453EF9" w:rsidRPr="00453EF9" w:rsidRDefault="00453EF9" w:rsidP="004818BA">
            <w:pPr>
              <w:rPr>
                <w:rFonts w:cs="Times New Roman"/>
                <w:b/>
                <w:bCs/>
                <w:sz w:val="16"/>
                <w:szCs w:val="16"/>
              </w:rPr>
            </w:pPr>
            <w:r w:rsidRPr="00453EF9">
              <w:rPr>
                <w:rFonts w:cs="Times New Roman"/>
                <w:sz w:val="16"/>
                <w:szCs w:val="16"/>
              </w:rPr>
              <w:t>PP06 Енергетична та екологічна агенція Нижньої Австрії (eNu)</w:t>
            </w:r>
          </w:p>
        </w:tc>
        <w:tc>
          <w:tcPr>
            <w:tcW w:w="851" w:type="dxa"/>
            <w:vAlign w:val="center"/>
          </w:tcPr>
          <w:p w14:paraId="20EFBAE1"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27E10D07" w14:textId="77777777" w:rsidR="00453EF9" w:rsidRPr="004818BA" w:rsidRDefault="00453EF9" w:rsidP="004818BA">
            <w:pPr>
              <w:jc w:val="center"/>
              <w:rPr>
                <w:rFonts w:cs="Times New Roman"/>
                <w:b/>
                <w:bCs/>
                <w:sz w:val="14"/>
                <w:szCs w:val="14"/>
              </w:rPr>
            </w:pPr>
            <w:r w:rsidRPr="004818BA">
              <w:rPr>
                <w:rFonts w:cs="Times New Roman"/>
                <w:sz w:val="14"/>
                <w:szCs w:val="14"/>
              </w:rPr>
              <w:t>23 498,00</w:t>
            </w:r>
          </w:p>
        </w:tc>
        <w:tc>
          <w:tcPr>
            <w:tcW w:w="937" w:type="dxa"/>
            <w:vAlign w:val="center"/>
          </w:tcPr>
          <w:p w14:paraId="7FBD7D5C"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1" w:type="dxa"/>
            <w:vAlign w:val="center"/>
          </w:tcPr>
          <w:p w14:paraId="237F3EFD"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0" w:type="dxa"/>
            <w:vAlign w:val="center"/>
          </w:tcPr>
          <w:p w14:paraId="63A04075"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1" w:type="dxa"/>
            <w:vAlign w:val="center"/>
          </w:tcPr>
          <w:p w14:paraId="15D5AC76" w14:textId="77777777" w:rsidR="00453EF9" w:rsidRPr="004818BA" w:rsidRDefault="00453EF9" w:rsidP="004818BA">
            <w:pPr>
              <w:jc w:val="center"/>
              <w:rPr>
                <w:rFonts w:cs="Times New Roman"/>
                <w:b/>
                <w:bCs/>
                <w:sz w:val="14"/>
                <w:szCs w:val="14"/>
              </w:rPr>
            </w:pPr>
            <w:r w:rsidRPr="004818BA">
              <w:rPr>
                <w:rFonts w:cs="Times New Roman"/>
                <w:sz w:val="14"/>
                <w:szCs w:val="14"/>
              </w:rPr>
              <w:t>47 000,00</w:t>
            </w:r>
          </w:p>
        </w:tc>
        <w:tc>
          <w:tcPr>
            <w:tcW w:w="850" w:type="dxa"/>
            <w:vAlign w:val="center"/>
          </w:tcPr>
          <w:p w14:paraId="4145EA2F"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1" w:type="dxa"/>
            <w:vAlign w:val="center"/>
          </w:tcPr>
          <w:p w14:paraId="49DC08EA" w14:textId="0BE61372" w:rsidR="00453EF9" w:rsidRPr="004818BA" w:rsidRDefault="00453EF9" w:rsidP="004818BA">
            <w:pPr>
              <w:jc w:val="center"/>
              <w:rPr>
                <w:rFonts w:cs="Times New Roman"/>
                <w:sz w:val="14"/>
                <w:szCs w:val="14"/>
              </w:rPr>
            </w:pPr>
            <w:r w:rsidRPr="004818BA">
              <w:rPr>
                <w:rFonts w:cs="Times New Roman"/>
                <w:sz w:val="14"/>
                <w:szCs w:val="14"/>
              </w:rPr>
              <w:t>11 750,00</w:t>
            </w:r>
          </w:p>
        </w:tc>
        <w:tc>
          <w:tcPr>
            <w:tcW w:w="992" w:type="dxa"/>
            <w:vAlign w:val="center"/>
          </w:tcPr>
          <w:p w14:paraId="477FE371" w14:textId="1484B4D7" w:rsidR="00453EF9" w:rsidRPr="004818BA" w:rsidRDefault="00453EF9" w:rsidP="004818BA">
            <w:pPr>
              <w:jc w:val="center"/>
              <w:rPr>
                <w:rFonts w:cs="Times New Roman"/>
                <w:sz w:val="14"/>
                <w:szCs w:val="14"/>
              </w:rPr>
            </w:pPr>
            <w:r w:rsidRPr="004818BA">
              <w:rPr>
                <w:rFonts w:cs="Times New Roman"/>
                <w:sz w:val="14"/>
                <w:szCs w:val="14"/>
              </w:rPr>
              <w:t>11 750,00</w:t>
            </w:r>
          </w:p>
        </w:tc>
        <w:tc>
          <w:tcPr>
            <w:tcW w:w="1281" w:type="dxa"/>
            <w:vAlign w:val="center"/>
          </w:tcPr>
          <w:p w14:paraId="3235D335" w14:textId="11DC323C" w:rsidR="00453EF9" w:rsidRPr="004818BA" w:rsidRDefault="00453EF9" w:rsidP="004818BA">
            <w:pPr>
              <w:jc w:val="center"/>
              <w:rPr>
                <w:rFonts w:cs="Times New Roman"/>
                <w:b/>
                <w:bCs/>
                <w:sz w:val="14"/>
                <w:szCs w:val="14"/>
              </w:rPr>
            </w:pPr>
            <w:r w:rsidRPr="004818BA">
              <w:rPr>
                <w:rFonts w:cs="Times New Roman"/>
                <w:sz w:val="14"/>
                <w:szCs w:val="14"/>
              </w:rPr>
              <w:t>234 998,00</w:t>
            </w:r>
          </w:p>
        </w:tc>
      </w:tr>
      <w:tr w:rsidR="004818BA" w:rsidRPr="00A6607D" w14:paraId="2FDC2966" w14:textId="77777777" w:rsidTr="002140F0">
        <w:trPr>
          <w:trHeight w:val="198"/>
          <w:jc w:val="center"/>
        </w:trPr>
        <w:tc>
          <w:tcPr>
            <w:tcW w:w="1271" w:type="dxa"/>
            <w:vAlign w:val="center"/>
          </w:tcPr>
          <w:p w14:paraId="1DE0D35C" w14:textId="77777777" w:rsidR="00453EF9" w:rsidRPr="00453EF9" w:rsidRDefault="00453EF9" w:rsidP="004818BA">
            <w:pPr>
              <w:rPr>
                <w:rFonts w:cs="Times New Roman"/>
                <w:b/>
                <w:bCs/>
                <w:sz w:val="16"/>
                <w:szCs w:val="16"/>
              </w:rPr>
            </w:pPr>
            <w:r w:rsidRPr="00453EF9">
              <w:rPr>
                <w:rFonts w:cs="Times New Roman"/>
                <w:sz w:val="16"/>
                <w:szCs w:val="16"/>
              </w:rPr>
              <w:t>PP07 Місто Лакташі</w:t>
            </w:r>
          </w:p>
        </w:tc>
        <w:tc>
          <w:tcPr>
            <w:tcW w:w="851" w:type="dxa"/>
            <w:vAlign w:val="center"/>
          </w:tcPr>
          <w:p w14:paraId="551928D8"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4140B7B1" w14:textId="77777777" w:rsidR="00453EF9" w:rsidRPr="004818BA" w:rsidRDefault="00453EF9" w:rsidP="004818BA">
            <w:pPr>
              <w:jc w:val="center"/>
              <w:rPr>
                <w:rFonts w:cs="Times New Roman"/>
                <w:b/>
                <w:bCs/>
                <w:sz w:val="14"/>
                <w:szCs w:val="14"/>
              </w:rPr>
            </w:pPr>
            <w:r w:rsidRPr="004818BA">
              <w:rPr>
                <w:rFonts w:cs="Times New Roman"/>
                <w:sz w:val="14"/>
                <w:szCs w:val="14"/>
              </w:rPr>
              <w:t>15 998,00</w:t>
            </w:r>
          </w:p>
        </w:tc>
        <w:tc>
          <w:tcPr>
            <w:tcW w:w="937" w:type="dxa"/>
            <w:vAlign w:val="center"/>
          </w:tcPr>
          <w:p w14:paraId="6AD3D73E"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1" w:type="dxa"/>
            <w:vAlign w:val="center"/>
          </w:tcPr>
          <w:p w14:paraId="5BF54C79"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0" w:type="dxa"/>
            <w:vAlign w:val="center"/>
          </w:tcPr>
          <w:p w14:paraId="6C83ADF9"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1" w:type="dxa"/>
            <w:vAlign w:val="center"/>
          </w:tcPr>
          <w:p w14:paraId="12B61881" w14:textId="77777777" w:rsidR="00453EF9" w:rsidRPr="004818BA" w:rsidRDefault="00453EF9" w:rsidP="004818BA">
            <w:pPr>
              <w:jc w:val="center"/>
              <w:rPr>
                <w:rFonts w:cs="Times New Roman"/>
                <w:b/>
                <w:bCs/>
                <w:sz w:val="14"/>
                <w:szCs w:val="14"/>
              </w:rPr>
            </w:pPr>
            <w:r w:rsidRPr="004818BA">
              <w:rPr>
                <w:rFonts w:cs="Times New Roman"/>
                <w:sz w:val="14"/>
                <w:szCs w:val="14"/>
              </w:rPr>
              <w:t>32 000,00</w:t>
            </w:r>
          </w:p>
        </w:tc>
        <w:tc>
          <w:tcPr>
            <w:tcW w:w="850" w:type="dxa"/>
            <w:vAlign w:val="center"/>
          </w:tcPr>
          <w:p w14:paraId="6ED6C7D4"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1" w:type="dxa"/>
            <w:vAlign w:val="center"/>
          </w:tcPr>
          <w:p w14:paraId="7FF300E3" w14:textId="421A46F7" w:rsidR="00453EF9" w:rsidRPr="004818BA" w:rsidRDefault="00453EF9" w:rsidP="004818BA">
            <w:pPr>
              <w:jc w:val="center"/>
              <w:rPr>
                <w:rFonts w:cs="Times New Roman"/>
                <w:sz w:val="14"/>
                <w:szCs w:val="14"/>
              </w:rPr>
            </w:pPr>
            <w:r w:rsidRPr="004818BA">
              <w:rPr>
                <w:rFonts w:cs="Times New Roman"/>
                <w:sz w:val="14"/>
                <w:szCs w:val="14"/>
              </w:rPr>
              <w:t>8 000,00</w:t>
            </w:r>
          </w:p>
        </w:tc>
        <w:tc>
          <w:tcPr>
            <w:tcW w:w="992" w:type="dxa"/>
            <w:vAlign w:val="center"/>
          </w:tcPr>
          <w:p w14:paraId="494F7AEB" w14:textId="052147AD" w:rsidR="00453EF9" w:rsidRPr="004818BA" w:rsidRDefault="00453EF9" w:rsidP="004818BA">
            <w:pPr>
              <w:jc w:val="center"/>
              <w:rPr>
                <w:rFonts w:cs="Times New Roman"/>
                <w:sz w:val="14"/>
                <w:szCs w:val="14"/>
              </w:rPr>
            </w:pPr>
            <w:r w:rsidRPr="004818BA">
              <w:rPr>
                <w:rFonts w:cs="Times New Roman"/>
                <w:sz w:val="14"/>
                <w:szCs w:val="14"/>
              </w:rPr>
              <w:t>8 000,00</w:t>
            </w:r>
          </w:p>
        </w:tc>
        <w:tc>
          <w:tcPr>
            <w:tcW w:w="1281" w:type="dxa"/>
            <w:vAlign w:val="center"/>
          </w:tcPr>
          <w:p w14:paraId="40BD0E58" w14:textId="10453002" w:rsidR="00453EF9" w:rsidRPr="004818BA" w:rsidRDefault="00453EF9" w:rsidP="004818BA">
            <w:pPr>
              <w:jc w:val="center"/>
              <w:rPr>
                <w:rFonts w:cs="Times New Roman"/>
                <w:b/>
                <w:bCs/>
                <w:sz w:val="14"/>
                <w:szCs w:val="14"/>
              </w:rPr>
            </w:pPr>
            <w:r w:rsidRPr="004818BA">
              <w:rPr>
                <w:rFonts w:cs="Times New Roman"/>
                <w:sz w:val="14"/>
                <w:szCs w:val="14"/>
              </w:rPr>
              <w:t>159 998,00</w:t>
            </w:r>
          </w:p>
        </w:tc>
      </w:tr>
      <w:tr w:rsidR="004818BA" w:rsidRPr="00A6607D" w14:paraId="65B25486" w14:textId="77777777" w:rsidTr="002140F0">
        <w:trPr>
          <w:trHeight w:val="399"/>
          <w:jc w:val="center"/>
        </w:trPr>
        <w:tc>
          <w:tcPr>
            <w:tcW w:w="1271" w:type="dxa"/>
            <w:vAlign w:val="center"/>
          </w:tcPr>
          <w:p w14:paraId="2C2D0952" w14:textId="77777777" w:rsidR="00453EF9" w:rsidRPr="00453EF9" w:rsidRDefault="00453EF9" w:rsidP="004818BA">
            <w:pPr>
              <w:rPr>
                <w:rFonts w:cs="Times New Roman"/>
                <w:b/>
                <w:bCs/>
                <w:sz w:val="16"/>
                <w:szCs w:val="16"/>
              </w:rPr>
            </w:pPr>
            <w:r w:rsidRPr="00453EF9">
              <w:rPr>
                <w:rFonts w:cs="Times New Roman"/>
                <w:sz w:val="16"/>
                <w:szCs w:val="16"/>
              </w:rPr>
              <w:t>DP08 Виконавчий комітет Дрогобицької міської ради Львівської області</w:t>
            </w:r>
          </w:p>
        </w:tc>
        <w:tc>
          <w:tcPr>
            <w:tcW w:w="851" w:type="dxa"/>
            <w:vAlign w:val="center"/>
          </w:tcPr>
          <w:p w14:paraId="56CB4B68"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5018AC99" w14:textId="77777777" w:rsidR="00453EF9" w:rsidRPr="004818BA" w:rsidRDefault="00453EF9" w:rsidP="004818BA">
            <w:pPr>
              <w:jc w:val="center"/>
              <w:rPr>
                <w:rFonts w:cs="Times New Roman"/>
                <w:b/>
                <w:bCs/>
                <w:sz w:val="14"/>
                <w:szCs w:val="14"/>
              </w:rPr>
            </w:pPr>
            <w:r w:rsidRPr="004818BA">
              <w:rPr>
                <w:rFonts w:cs="Times New Roman"/>
                <w:sz w:val="14"/>
                <w:szCs w:val="14"/>
              </w:rPr>
              <w:t>4 902,00</w:t>
            </w:r>
          </w:p>
        </w:tc>
        <w:tc>
          <w:tcPr>
            <w:tcW w:w="937" w:type="dxa"/>
            <w:vAlign w:val="center"/>
          </w:tcPr>
          <w:p w14:paraId="5DA23EED"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1" w:type="dxa"/>
            <w:vAlign w:val="center"/>
          </w:tcPr>
          <w:p w14:paraId="3454DFAB"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0" w:type="dxa"/>
            <w:vAlign w:val="center"/>
          </w:tcPr>
          <w:p w14:paraId="3715673B"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1" w:type="dxa"/>
            <w:vAlign w:val="center"/>
          </w:tcPr>
          <w:p w14:paraId="4B26208B" w14:textId="77777777" w:rsidR="00453EF9" w:rsidRPr="004818BA" w:rsidRDefault="00453EF9" w:rsidP="004818BA">
            <w:pPr>
              <w:jc w:val="center"/>
              <w:rPr>
                <w:rFonts w:cs="Times New Roman"/>
                <w:b/>
                <w:bCs/>
                <w:sz w:val="14"/>
                <w:szCs w:val="14"/>
              </w:rPr>
            </w:pPr>
            <w:r w:rsidRPr="004818BA">
              <w:rPr>
                <w:rFonts w:cs="Times New Roman"/>
                <w:sz w:val="14"/>
                <w:szCs w:val="14"/>
              </w:rPr>
              <w:t>9 802,00</w:t>
            </w:r>
          </w:p>
        </w:tc>
        <w:tc>
          <w:tcPr>
            <w:tcW w:w="850" w:type="dxa"/>
            <w:vAlign w:val="center"/>
          </w:tcPr>
          <w:p w14:paraId="10BB53BC"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1" w:type="dxa"/>
            <w:vAlign w:val="center"/>
          </w:tcPr>
          <w:p w14:paraId="5466F161" w14:textId="68C7786F" w:rsidR="00453EF9" w:rsidRPr="004818BA" w:rsidRDefault="00453EF9" w:rsidP="004818BA">
            <w:pPr>
              <w:jc w:val="center"/>
              <w:rPr>
                <w:rFonts w:cs="Times New Roman"/>
                <w:sz w:val="14"/>
                <w:szCs w:val="14"/>
              </w:rPr>
            </w:pPr>
            <w:r w:rsidRPr="004818BA">
              <w:rPr>
                <w:rFonts w:cs="Times New Roman"/>
                <w:sz w:val="14"/>
                <w:szCs w:val="14"/>
              </w:rPr>
              <w:t>2 450,00</w:t>
            </w:r>
          </w:p>
        </w:tc>
        <w:tc>
          <w:tcPr>
            <w:tcW w:w="992" w:type="dxa"/>
            <w:vAlign w:val="center"/>
          </w:tcPr>
          <w:p w14:paraId="5F2B3011" w14:textId="47642A31" w:rsidR="00453EF9" w:rsidRPr="004818BA" w:rsidRDefault="00453EF9" w:rsidP="004818BA">
            <w:pPr>
              <w:jc w:val="center"/>
              <w:rPr>
                <w:rFonts w:cs="Times New Roman"/>
                <w:sz w:val="14"/>
                <w:szCs w:val="14"/>
              </w:rPr>
            </w:pPr>
            <w:r w:rsidRPr="004818BA">
              <w:rPr>
                <w:rFonts w:cs="Times New Roman"/>
                <w:sz w:val="14"/>
                <w:szCs w:val="14"/>
              </w:rPr>
              <w:t>2 450,00</w:t>
            </w:r>
          </w:p>
        </w:tc>
        <w:tc>
          <w:tcPr>
            <w:tcW w:w="1281" w:type="dxa"/>
            <w:vAlign w:val="center"/>
          </w:tcPr>
          <w:p w14:paraId="7D880199" w14:textId="092B5A13" w:rsidR="00453EF9" w:rsidRPr="004818BA" w:rsidRDefault="00453EF9" w:rsidP="004818BA">
            <w:pPr>
              <w:jc w:val="center"/>
              <w:rPr>
                <w:rFonts w:cs="Times New Roman"/>
                <w:b/>
                <w:bCs/>
                <w:sz w:val="14"/>
                <w:szCs w:val="14"/>
              </w:rPr>
            </w:pPr>
            <w:r w:rsidRPr="004818BA">
              <w:rPr>
                <w:rFonts w:cs="Times New Roman"/>
                <w:sz w:val="14"/>
                <w:szCs w:val="14"/>
              </w:rPr>
              <w:t>49 008,00</w:t>
            </w:r>
          </w:p>
        </w:tc>
      </w:tr>
      <w:tr w:rsidR="004818BA" w:rsidRPr="00A6607D" w14:paraId="7207C18D" w14:textId="77777777" w:rsidTr="002140F0">
        <w:trPr>
          <w:trHeight w:val="399"/>
          <w:jc w:val="center"/>
        </w:trPr>
        <w:tc>
          <w:tcPr>
            <w:tcW w:w="1271" w:type="dxa"/>
            <w:vAlign w:val="center"/>
          </w:tcPr>
          <w:p w14:paraId="056181F5" w14:textId="77777777" w:rsidR="00453EF9" w:rsidRPr="00453EF9" w:rsidRDefault="00453EF9" w:rsidP="004818BA">
            <w:pPr>
              <w:rPr>
                <w:rFonts w:cs="Times New Roman"/>
                <w:sz w:val="16"/>
                <w:szCs w:val="16"/>
              </w:rPr>
            </w:pPr>
            <w:r w:rsidRPr="00453EF9">
              <w:rPr>
                <w:rFonts w:cs="Times New Roman"/>
                <w:sz w:val="16"/>
                <w:szCs w:val="16"/>
              </w:rPr>
              <w:t>DP09 Львівське комунальне підприємство «Львівсвітло»</w:t>
            </w:r>
          </w:p>
        </w:tc>
        <w:tc>
          <w:tcPr>
            <w:tcW w:w="851" w:type="dxa"/>
            <w:vAlign w:val="center"/>
          </w:tcPr>
          <w:p w14:paraId="08C34F5A" w14:textId="77777777" w:rsidR="00453EF9" w:rsidRPr="004818BA" w:rsidRDefault="00453EF9" w:rsidP="004818BA">
            <w:pPr>
              <w:jc w:val="center"/>
              <w:rPr>
                <w:rFonts w:cs="Times New Roman"/>
                <w:sz w:val="14"/>
                <w:szCs w:val="14"/>
              </w:rPr>
            </w:pPr>
            <w:r w:rsidRPr="004818BA">
              <w:rPr>
                <w:rFonts w:cs="Times New Roman"/>
                <w:sz w:val="14"/>
                <w:szCs w:val="14"/>
              </w:rPr>
              <w:t>0,00</w:t>
            </w:r>
          </w:p>
        </w:tc>
        <w:tc>
          <w:tcPr>
            <w:tcW w:w="905" w:type="dxa"/>
            <w:vAlign w:val="center"/>
          </w:tcPr>
          <w:p w14:paraId="47C7DDC7" w14:textId="77777777" w:rsidR="00453EF9" w:rsidRPr="004818BA" w:rsidRDefault="00453EF9" w:rsidP="004818BA">
            <w:pPr>
              <w:jc w:val="center"/>
              <w:rPr>
                <w:rFonts w:cs="Times New Roman"/>
                <w:sz w:val="14"/>
                <w:szCs w:val="14"/>
              </w:rPr>
            </w:pPr>
            <w:r w:rsidRPr="004818BA">
              <w:rPr>
                <w:rFonts w:cs="Times New Roman"/>
                <w:sz w:val="14"/>
                <w:szCs w:val="14"/>
              </w:rPr>
              <w:t>10 000,00</w:t>
            </w:r>
          </w:p>
        </w:tc>
        <w:tc>
          <w:tcPr>
            <w:tcW w:w="937" w:type="dxa"/>
            <w:vAlign w:val="center"/>
          </w:tcPr>
          <w:p w14:paraId="5993E9F7"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1" w:type="dxa"/>
            <w:vAlign w:val="center"/>
          </w:tcPr>
          <w:p w14:paraId="1A839E4C"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0" w:type="dxa"/>
            <w:vAlign w:val="center"/>
          </w:tcPr>
          <w:p w14:paraId="465C7CDC"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1" w:type="dxa"/>
            <w:vAlign w:val="center"/>
          </w:tcPr>
          <w:p w14:paraId="652EE70D" w14:textId="77777777" w:rsidR="00453EF9" w:rsidRPr="004818BA" w:rsidRDefault="00453EF9" w:rsidP="004818BA">
            <w:pPr>
              <w:jc w:val="center"/>
              <w:rPr>
                <w:rFonts w:cs="Times New Roman"/>
                <w:sz w:val="14"/>
                <w:szCs w:val="14"/>
              </w:rPr>
            </w:pPr>
            <w:r w:rsidRPr="004818BA">
              <w:rPr>
                <w:rFonts w:cs="Times New Roman"/>
                <w:sz w:val="14"/>
                <w:szCs w:val="14"/>
              </w:rPr>
              <w:t>20 000,00</w:t>
            </w:r>
          </w:p>
        </w:tc>
        <w:tc>
          <w:tcPr>
            <w:tcW w:w="850" w:type="dxa"/>
            <w:vAlign w:val="center"/>
          </w:tcPr>
          <w:p w14:paraId="5362C379"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1" w:type="dxa"/>
            <w:vAlign w:val="center"/>
          </w:tcPr>
          <w:p w14:paraId="1A048EF7" w14:textId="68B37AE8" w:rsidR="00453EF9" w:rsidRPr="004818BA" w:rsidRDefault="00453EF9" w:rsidP="004818BA">
            <w:pPr>
              <w:jc w:val="center"/>
              <w:rPr>
                <w:rFonts w:cs="Times New Roman"/>
                <w:sz w:val="14"/>
                <w:szCs w:val="14"/>
              </w:rPr>
            </w:pPr>
            <w:r w:rsidRPr="004818BA">
              <w:rPr>
                <w:rFonts w:cs="Times New Roman"/>
                <w:sz w:val="14"/>
                <w:szCs w:val="14"/>
              </w:rPr>
              <w:t>5 000,00</w:t>
            </w:r>
          </w:p>
        </w:tc>
        <w:tc>
          <w:tcPr>
            <w:tcW w:w="992" w:type="dxa"/>
            <w:vAlign w:val="center"/>
          </w:tcPr>
          <w:p w14:paraId="24AC22EB" w14:textId="487EFFB5" w:rsidR="00453EF9" w:rsidRPr="004818BA" w:rsidRDefault="00453EF9" w:rsidP="004818BA">
            <w:pPr>
              <w:jc w:val="center"/>
              <w:rPr>
                <w:rFonts w:cs="Times New Roman"/>
                <w:sz w:val="14"/>
                <w:szCs w:val="14"/>
              </w:rPr>
            </w:pPr>
            <w:r w:rsidRPr="004818BA">
              <w:rPr>
                <w:rFonts w:cs="Times New Roman"/>
                <w:sz w:val="14"/>
                <w:szCs w:val="14"/>
              </w:rPr>
              <w:t>5 000,00</w:t>
            </w:r>
          </w:p>
        </w:tc>
        <w:tc>
          <w:tcPr>
            <w:tcW w:w="1281" w:type="dxa"/>
            <w:vAlign w:val="center"/>
          </w:tcPr>
          <w:p w14:paraId="0EF1EC6D" w14:textId="16DFD99D" w:rsidR="00453EF9" w:rsidRPr="004818BA" w:rsidRDefault="00453EF9" w:rsidP="004818BA">
            <w:pPr>
              <w:jc w:val="center"/>
              <w:rPr>
                <w:rFonts w:cs="Times New Roman"/>
                <w:sz w:val="14"/>
                <w:szCs w:val="14"/>
              </w:rPr>
            </w:pPr>
            <w:r w:rsidRPr="004818BA">
              <w:rPr>
                <w:rFonts w:cs="Times New Roman"/>
                <w:sz w:val="14"/>
                <w:szCs w:val="14"/>
              </w:rPr>
              <w:t>100 000,00</w:t>
            </w:r>
          </w:p>
        </w:tc>
      </w:tr>
      <w:tr w:rsidR="004818BA" w:rsidRPr="00A6607D" w14:paraId="001BB725" w14:textId="77777777" w:rsidTr="002140F0">
        <w:trPr>
          <w:trHeight w:val="198"/>
          <w:jc w:val="center"/>
        </w:trPr>
        <w:tc>
          <w:tcPr>
            <w:tcW w:w="1271" w:type="dxa"/>
            <w:vAlign w:val="center"/>
          </w:tcPr>
          <w:p w14:paraId="2E9921A7" w14:textId="77777777" w:rsidR="00453EF9" w:rsidRPr="00453EF9" w:rsidRDefault="00453EF9" w:rsidP="004818BA">
            <w:pPr>
              <w:rPr>
                <w:rFonts w:cs="Times New Roman"/>
                <w:sz w:val="16"/>
                <w:szCs w:val="16"/>
              </w:rPr>
            </w:pPr>
            <w:r w:rsidRPr="00453EF9">
              <w:rPr>
                <w:rStyle w:val="ad"/>
                <w:rFonts w:eastAsiaTheme="majorEastAsia" w:cs="Times New Roman"/>
                <w:sz w:val="16"/>
                <w:szCs w:val="16"/>
              </w:rPr>
              <w:t>Всього</w:t>
            </w:r>
          </w:p>
        </w:tc>
        <w:tc>
          <w:tcPr>
            <w:tcW w:w="851" w:type="dxa"/>
            <w:vAlign w:val="center"/>
          </w:tcPr>
          <w:p w14:paraId="43ACDF01" w14:textId="77777777" w:rsidR="00453EF9" w:rsidRPr="004818BA" w:rsidRDefault="00453EF9" w:rsidP="004818BA">
            <w:pPr>
              <w:jc w:val="center"/>
              <w:rPr>
                <w:rFonts w:cs="Times New Roman"/>
                <w:b/>
                <w:bCs/>
                <w:sz w:val="14"/>
                <w:szCs w:val="14"/>
              </w:rPr>
            </w:pPr>
            <w:r w:rsidRPr="004818BA">
              <w:rPr>
                <w:rFonts w:cs="Times New Roman"/>
                <w:b/>
                <w:bCs/>
                <w:sz w:val="14"/>
                <w:szCs w:val="14"/>
              </w:rPr>
              <w:t>17 500,00</w:t>
            </w:r>
          </w:p>
        </w:tc>
        <w:tc>
          <w:tcPr>
            <w:tcW w:w="905" w:type="dxa"/>
            <w:vAlign w:val="center"/>
          </w:tcPr>
          <w:p w14:paraId="59F41350" w14:textId="77777777" w:rsidR="00453EF9" w:rsidRPr="004818BA" w:rsidRDefault="00453EF9" w:rsidP="004818BA">
            <w:pPr>
              <w:jc w:val="center"/>
              <w:rPr>
                <w:rFonts w:cs="Times New Roman"/>
                <w:b/>
                <w:bCs/>
                <w:sz w:val="14"/>
                <w:szCs w:val="14"/>
              </w:rPr>
            </w:pPr>
            <w:r w:rsidRPr="004818BA">
              <w:rPr>
                <w:rFonts w:cs="Times New Roman"/>
                <w:b/>
                <w:bCs/>
                <w:sz w:val="14"/>
                <w:szCs w:val="14"/>
              </w:rPr>
              <w:t>196 895,00</w:t>
            </w:r>
          </w:p>
        </w:tc>
        <w:tc>
          <w:tcPr>
            <w:tcW w:w="937" w:type="dxa"/>
            <w:vAlign w:val="center"/>
          </w:tcPr>
          <w:p w14:paraId="0395B7C3" w14:textId="77777777" w:rsidR="00453EF9" w:rsidRPr="004818BA" w:rsidRDefault="00453EF9" w:rsidP="004818BA">
            <w:pPr>
              <w:jc w:val="center"/>
              <w:rPr>
                <w:rFonts w:cs="Times New Roman"/>
                <w:b/>
                <w:bCs/>
                <w:sz w:val="14"/>
                <w:szCs w:val="14"/>
              </w:rPr>
            </w:pPr>
            <w:r w:rsidRPr="004818BA">
              <w:rPr>
                <w:rFonts w:cs="Times New Roman"/>
                <w:b/>
                <w:bCs/>
                <w:sz w:val="14"/>
                <w:szCs w:val="14"/>
              </w:rPr>
              <w:t>255 755,00</w:t>
            </w:r>
          </w:p>
        </w:tc>
        <w:tc>
          <w:tcPr>
            <w:tcW w:w="851" w:type="dxa"/>
            <w:vAlign w:val="center"/>
          </w:tcPr>
          <w:p w14:paraId="21B76332" w14:textId="77777777" w:rsidR="00453EF9" w:rsidRPr="004818BA" w:rsidRDefault="00453EF9" w:rsidP="004818BA">
            <w:pPr>
              <w:jc w:val="center"/>
              <w:rPr>
                <w:rFonts w:cs="Times New Roman"/>
                <w:b/>
                <w:bCs/>
                <w:sz w:val="14"/>
                <w:szCs w:val="14"/>
              </w:rPr>
            </w:pPr>
            <w:r w:rsidRPr="004818BA">
              <w:rPr>
                <w:rFonts w:cs="Times New Roman"/>
                <w:b/>
                <w:bCs/>
                <w:sz w:val="14"/>
                <w:szCs w:val="14"/>
              </w:rPr>
              <w:t>273 959,00</w:t>
            </w:r>
          </w:p>
        </w:tc>
        <w:tc>
          <w:tcPr>
            <w:tcW w:w="850" w:type="dxa"/>
            <w:vAlign w:val="center"/>
          </w:tcPr>
          <w:p w14:paraId="13654737" w14:textId="77777777" w:rsidR="00453EF9" w:rsidRPr="004818BA" w:rsidRDefault="00453EF9" w:rsidP="004818BA">
            <w:pPr>
              <w:jc w:val="center"/>
              <w:rPr>
                <w:rFonts w:cs="Times New Roman"/>
                <w:b/>
                <w:bCs/>
                <w:sz w:val="14"/>
                <w:szCs w:val="14"/>
              </w:rPr>
            </w:pPr>
            <w:r w:rsidRPr="004818BA">
              <w:rPr>
                <w:rFonts w:cs="Times New Roman"/>
                <w:b/>
                <w:bCs/>
                <w:sz w:val="14"/>
                <w:szCs w:val="14"/>
              </w:rPr>
              <w:t>273 959,00</w:t>
            </w:r>
          </w:p>
        </w:tc>
        <w:tc>
          <w:tcPr>
            <w:tcW w:w="851" w:type="dxa"/>
            <w:vAlign w:val="center"/>
          </w:tcPr>
          <w:p w14:paraId="2F69B87D" w14:textId="77777777" w:rsidR="00453EF9" w:rsidRPr="004818BA" w:rsidRDefault="00453EF9" w:rsidP="004818BA">
            <w:pPr>
              <w:jc w:val="center"/>
              <w:rPr>
                <w:rFonts w:cs="Times New Roman"/>
                <w:b/>
                <w:bCs/>
                <w:sz w:val="14"/>
                <w:szCs w:val="14"/>
              </w:rPr>
            </w:pPr>
            <w:r w:rsidRPr="004818BA">
              <w:rPr>
                <w:rFonts w:cs="Times New Roman"/>
                <w:b/>
                <w:bCs/>
                <w:sz w:val="14"/>
                <w:szCs w:val="14"/>
              </w:rPr>
              <w:t>318 106,00</w:t>
            </w:r>
          </w:p>
        </w:tc>
        <w:tc>
          <w:tcPr>
            <w:tcW w:w="850" w:type="dxa"/>
            <w:vAlign w:val="center"/>
          </w:tcPr>
          <w:p w14:paraId="05D74D09" w14:textId="77777777" w:rsidR="00453EF9" w:rsidRPr="004818BA" w:rsidRDefault="00453EF9" w:rsidP="004818BA">
            <w:pPr>
              <w:jc w:val="center"/>
              <w:rPr>
                <w:rFonts w:cs="Times New Roman"/>
                <w:b/>
                <w:bCs/>
                <w:sz w:val="14"/>
                <w:szCs w:val="14"/>
              </w:rPr>
            </w:pPr>
            <w:r w:rsidRPr="004818BA">
              <w:rPr>
                <w:rFonts w:cs="Times New Roman"/>
                <w:b/>
                <w:bCs/>
                <w:sz w:val="14"/>
                <w:szCs w:val="14"/>
              </w:rPr>
              <w:t>232 853,00</w:t>
            </w:r>
          </w:p>
        </w:tc>
        <w:tc>
          <w:tcPr>
            <w:tcW w:w="851" w:type="dxa"/>
            <w:vAlign w:val="center"/>
          </w:tcPr>
          <w:p w14:paraId="1A0B182E" w14:textId="4B248C09" w:rsidR="00453EF9" w:rsidRPr="004818BA" w:rsidRDefault="00453EF9" w:rsidP="004818BA">
            <w:pPr>
              <w:jc w:val="center"/>
              <w:rPr>
                <w:rFonts w:cs="Times New Roman"/>
                <w:b/>
                <w:bCs/>
                <w:sz w:val="14"/>
                <w:szCs w:val="14"/>
              </w:rPr>
            </w:pPr>
            <w:r w:rsidRPr="004818BA">
              <w:rPr>
                <w:rFonts w:cs="Times New Roman"/>
                <w:b/>
                <w:sz w:val="14"/>
                <w:szCs w:val="14"/>
              </w:rPr>
              <w:t>111 759,00</w:t>
            </w:r>
          </w:p>
        </w:tc>
        <w:tc>
          <w:tcPr>
            <w:tcW w:w="992" w:type="dxa"/>
            <w:vAlign w:val="center"/>
          </w:tcPr>
          <w:p w14:paraId="5B5A9369" w14:textId="541D0179" w:rsidR="00453EF9" w:rsidRPr="004818BA" w:rsidRDefault="00453EF9" w:rsidP="004818BA">
            <w:pPr>
              <w:jc w:val="center"/>
              <w:rPr>
                <w:rFonts w:cs="Times New Roman"/>
                <w:b/>
                <w:bCs/>
                <w:sz w:val="14"/>
                <w:szCs w:val="14"/>
              </w:rPr>
            </w:pPr>
            <w:r w:rsidRPr="004818BA">
              <w:rPr>
                <w:rFonts w:cs="Times New Roman"/>
                <w:b/>
                <w:sz w:val="14"/>
                <w:szCs w:val="14"/>
              </w:rPr>
              <w:t>111 759,00</w:t>
            </w:r>
          </w:p>
        </w:tc>
        <w:tc>
          <w:tcPr>
            <w:tcW w:w="1281" w:type="dxa"/>
            <w:vAlign w:val="center"/>
          </w:tcPr>
          <w:p w14:paraId="2FB2F989" w14:textId="7AC464C3" w:rsidR="00453EF9" w:rsidRPr="004818BA" w:rsidRDefault="00453EF9" w:rsidP="004818BA">
            <w:pPr>
              <w:jc w:val="center"/>
              <w:rPr>
                <w:rFonts w:cs="Times New Roman"/>
                <w:b/>
                <w:bCs/>
                <w:sz w:val="14"/>
                <w:szCs w:val="14"/>
              </w:rPr>
            </w:pPr>
            <w:r w:rsidRPr="004818BA">
              <w:rPr>
                <w:rFonts w:cs="Times New Roman"/>
                <w:b/>
                <w:bCs/>
                <w:sz w:val="14"/>
                <w:szCs w:val="14"/>
              </w:rPr>
              <w:t>1 792 545,00</w:t>
            </w:r>
          </w:p>
        </w:tc>
      </w:tr>
      <w:tr w:rsidR="004818BA" w:rsidRPr="00A6607D" w14:paraId="40E80F7A" w14:textId="77777777" w:rsidTr="002140F0">
        <w:trPr>
          <w:trHeight w:val="198"/>
          <w:jc w:val="center"/>
        </w:trPr>
        <w:tc>
          <w:tcPr>
            <w:tcW w:w="1271" w:type="dxa"/>
            <w:vAlign w:val="center"/>
          </w:tcPr>
          <w:p w14:paraId="424DA6A9" w14:textId="77777777" w:rsidR="00453EF9" w:rsidRPr="00453EF9" w:rsidRDefault="00453EF9" w:rsidP="004818BA">
            <w:pPr>
              <w:rPr>
                <w:rStyle w:val="ad"/>
                <w:rFonts w:eastAsiaTheme="majorEastAsia" w:cs="Times New Roman"/>
                <w:sz w:val="16"/>
                <w:szCs w:val="16"/>
              </w:rPr>
            </w:pPr>
            <w:r w:rsidRPr="00453EF9">
              <w:rPr>
                <w:rStyle w:val="ad"/>
                <w:rFonts w:eastAsiaTheme="majorEastAsia" w:cs="Times New Roman"/>
                <w:sz w:val="16"/>
                <w:szCs w:val="16"/>
              </w:rPr>
              <w:t>% від загального бюджету</w:t>
            </w:r>
          </w:p>
        </w:tc>
        <w:tc>
          <w:tcPr>
            <w:tcW w:w="851" w:type="dxa"/>
            <w:vAlign w:val="center"/>
          </w:tcPr>
          <w:p w14:paraId="37FF7F48" w14:textId="77777777" w:rsidR="00453EF9" w:rsidRPr="004818BA" w:rsidRDefault="00453EF9" w:rsidP="004818BA">
            <w:pPr>
              <w:jc w:val="center"/>
              <w:rPr>
                <w:rFonts w:cs="Times New Roman"/>
                <w:b/>
                <w:bCs/>
                <w:sz w:val="14"/>
                <w:szCs w:val="14"/>
              </w:rPr>
            </w:pPr>
            <w:r w:rsidRPr="004818BA">
              <w:rPr>
                <w:rFonts w:cs="Times New Roman"/>
                <w:b/>
                <w:bCs/>
                <w:sz w:val="14"/>
                <w:szCs w:val="14"/>
              </w:rPr>
              <w:t>1,0%</w:t>
            </w:r>
          </w:p>
        </w:tc>
        <w:tc>
          <w:tcPr>
            <w:tcW w:w="905" w:type="dxa"/>
            <w:vAlign w:val="center"/>
          </w:tcPr>
          <w:p w14:paraId="5FC2C5DF" w14:textId="77777777" w:rsidR="00453EF9" w:rsidRPr="004818BA" w:rsidRDefault="00453EF9" w:rsidP="004818BA">
            <w:pPr>
              <w:jc w:val="center"/>
              <w:rPr>
                <w:rFonts w:cs="Times New Roman"/>
                <w:b/>
                <w:bCs/>
                <w:sz w:val="14"/>
                <w:szCs w:val="14"/>
              </w:rPr>
            </w:pPr>
            <w:r w:rsidRPr="004818BA">
              <w:rPr>
                <w:rFonts w:cs="Times New Roman"/>
                <w:b/>
                <w:bCs/>
                <w:sz w:val="14"/>
                <w:szCs w:val="14"/>
              </w:rPr>
              <w:t>11,0%</w:t>
            </w:r>
          </w:p>
        </w:tc>
        <w:tc>
          <w:tcPr>
            <w:tcW w:w="937" w:type="dxa"/>
            <w:vAlign w:val="center"/>
          </w:tcPr>
          <w:p w14:paraId="4E2DD83F" w14:textId="77777777" w:rsidR="00453EF9" w:rsidRPr="004818BA" w:rsidRDefault="00453EF9" w:rsidP="004818BA">
            <w:pPr>
              <w:jc w:val="center"/>
              <w:rPr>
                <w:rFonts w:cs="Times New Roman"/>
                <w:b/>
                <w:bCs/>
                <w:sz w:val="14"/>
                <w:szCs w:val="14"/>
              </w:rPr>
            </w:pPr>
            <w:r w:rsidRPr="004818BA">
              <w:rPr>
                <w:rFonts w:cs="Times New Roman"/>
                <w:b/>
                <w:bCs/>
                <w:sz w:val="14"/>
                <w:szCs w:val="14"/>
              </w:rPr>
              <w:t>14,3%</w:t>
            </w:r>
          </w:p>
        </w:tc>
        <w:tc>
          <w:tcPr>
            <w:tcW w:w="851" w:type="dxa"/>
            <w:vAlign w:val="center"/>
          </w:tcPr>
          <w:p w14:paraId="4FCDD9BA" w14:textId="77777777" w:rsidR="00453EF9" w:rsidRPr="004818BA" w:rsidRDefault="00453EF9" w:rsidP="004818BA">
            <w:pPr>
              <w:jc w:val="center"/>
              <w:rPr>
                <w:rFonts w:cs="Times New Roman"/>
                <w:b/>
                <w:bCs/>
                <w:sz w:val="14"/>
                <w:szCs w:val="14"/>
              </w:rPr>
            </w:pPr>
            <w:r w:rsidRPr="004818BA">
              <w:rPr>
                <w:rFonts w:cs="Times New Roman"/>
                <w:b/>
                <w:bCs/>
                <w:sz w:val="14"/>
                <w:szCs w:val="14"/>
              </w:rPr>
              <w:t>15,3%</w:t>
            </w:r>
          </w:p>
        </w:tc>
        <w:tc>
          <w:tcPr>
            <w:tcW w:w="850" w:type="dxa"/>
            <w:vAlign w:val="center"/>
          </w:tcPr>
          <w:p w14:paraId="2726A38A" w14:textId="77777777" w:rsidR="00453EF9" w:rsidRPr="004818BA" w:rsidRDefault="00453EF9" w:rsidP="004818BA">
            <w:pPr>
              <w:jc w:val="center"/>
              <w:rPr>
                <w:rFonts w:cs="Times New Roman"/>
                <w:b/>
                <w:bCs/>
                <w:sz w:val="14"/>
                <w:szCs w:val="14"/>
              </w:rPr>
            </w:pPr>
            <w:r w:rsidRPr="004818BA">
              <w:rPr>
                <w:rFonts w:cs="Times New Roman"/>
                <w:b/>
                <w:bCs/>
                <w:sz w:val="14"/>
                <w:szCs w:val="14"/>
              </w:rPr>
              <w:t>15,3%</w:t>
            </w:r>
          </w:p>
        </w:tc>
        <w:tc>
          <w:tcPr>
            <w:tcW w:w="851" w:type="dxa"/>
            <w:vAlign w:val="center"/>
          </w:tcPr>
          <w:p w14:paraId="105CBF5A" w14:textId="77777777" w:rsidR="00453EF9" w:rsidRPr="004818BA" w:rsidRDefault="00453EF9" w:rsidP="004818BA">
            <w:pPr>
              <w:jc w:val="center"/>
              <w:rPr>
                <w:rFonts w:cs="Times New Roman"/>
                <w:b/>
                <w:bCs/>
                <w:sz w:val="14"/>
                <w:szCs w:val="14"/>
              </w:rPr>
            </w:pPr>
            <w:r w:rsidRPr="004818BA">
              <w:rPr>
                <w:rFonts w:cs="Times New Roman"/>
                <w:b/>
                <w:bCs/>
                <w:sz w:val="14"/>
                <w:szCs w:val="14"/>
              </w:rPr>
              <w:t>17,7%</w:t>
            </w:r>
          </w:p>
        </w:tc>
        <w:tc>
          <w:tcPr>
            <w:tcW w:w="850" w:type="dxa"/>
            <w:vAlign w:val="center"/>
          </w:tcPr>
          <w:p w14:paraId="5125877B" w14:textId="77777777" w:rsidR="00453EF9" w:rsidRPr="004818BA" w:rsidRDefault="00453EF9" w:rsidP="004818BA">
            <w:pPr>
              <w:jc w:val="center"/>
              <w:rPr>
                <w:rFonts w:cs="Times New Roman"/>
                <w:b/>
                <w:bCs/>
                <w:sz w:val="14"/>
                <w:szCs w:val="14"/>
              </w:rPr>
            </w:pPr>
            <w:r w:rsidRPr="004818BA">
              <w:rPr>
                <w:rFonts w:cs="Times New Roman"/>
                <w:b/>
                <w:bCs/>
                <w:sz w:val="14"/>
                <w:szCs w:val="14"/>
              </w:rPr>
              <w:t>13,0%</w:t>
            </w:r>
          </w:p>
        </w:tc>
        <w:tc>
          <w:tcPr>
            <w:tcW w:w="851" w:type="dxa"/>
            <w:vAlign w:val="center"/>
          </w:tcPr>
          <w:p w14:paraId="64753B83" w14:textId="77CE4E61" w:rsidR="00453EF9" w:rsidRPr="004818BA" w:rsidRDefault="00453EF9" w:rsidP="004818BA">
            <w:pPr>
              <w:jc w:val="center"/>
              <w:rPr>
                <w:rFonts w:cs="Times New Roman"/>
                <w:b/>
                <w:bCs/>
                <w:sz w:val="14"/>
                <w:szCs w:val="14"/>
              </w:rPr>
            </w:pPr>
            <w:r w:rsidRPr="004818BA">
              <w:rPr>
                <w:rFonts w:cs="Times New Roman"/>
                <w:sz w:val="14"/>
                <w:szCs w:val="14"/>
              </w:rPr>
              <w:t>6,2%</w:t>
            </w:r>
          </w:p>
        </w:tc>
        <w:tc>
          <w:tcPr>
            <w:tcW w:w="992" w:type="dxa"/>
            <w:vAlign w:val="center"/>
          </w:tcPr>
          <w:p w14:paraId="79A49237" w14:textId="40A1CDC2" w:rsidR="00453EF9" w:rsidRPr="004818BA" w:rsidRDefault="00453EF9" w:rsidP="004818BA">
            <w:pPr>
              <w:jc w:val="center"/>
              <w:rPr>
                <w:rFonts w:cs="Times New Roman"/>
                <w:b/>
                <w:bCs/>
                <w:sz w:val="14"/>
                <w:szCs w:val="14"/>
              </w:rPr>
            </w:pPr>
            <w:r w:rsidRPr="004818BA">
              <w:rPr>
                <w:rFonts w:cs="Times New Roman"/>
                <w:sz w:val="14"/>
                <w:szCs w:val="14"/>
              </w:rPr>
              <w:t>6,2%</w:t>
            </w:r>
          </w:p>
        </w:tc>
        <w:tc>
          <w:tcPr>
            <w:tcW w:w="1281" w:type="dxa"/>
            <w:vAlign w:val="center"/>
          </w:tcPr>
          <w:p w14:paraId="27CB64D5" w14:textId="3CD605AD" w:rsidR="00453EF9" w:rsidRPr="004818BA" w:rsidRDefault="00453EF9" w:rsidP="004818BA">
            <w:pPr>
              <w:jc w:val="center"/>
              <w:rPr>
                <w:rFonts w:cs="Times New Roman"/>
                <w:b/>
                <w:bCs/>
                <w:sz w:val="14"/>
                <w:szCs w:val="14"/>
              </w:rPr>
            </w:pPr>
            <w:r w:rsidRPr="004818BA">
              <w:rPr>
                <w:rFonts w:cs="Times New Roman"/>
                <w:b/>
                <w:bCs/>
                <w:sz w:val="14"/>
                <w:szCs w:val="14"/>
              </w:rPr>
              <w:t>100,0%</w:t>
            </w:r>
          </w:p>
        </w:tc>
      </w:tr>
    </w:tbl>
    <w:bookmarkEnd w:id="8"/>
    <w:p w14:paraId="27EE0BB4" w14:textId="38D40E62" w:rsidR="00D01AA4" w:rsidRPr="00A6607D" w:rsidRDefault="00D01AA4" w:rsidP="00453EF9">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При застосуванні фіксованої ставки 15%  (офіс  та адм</w:t>
      </w:r>
      <w:r w:rsidR="002B7498">
        <w:rPr>
          <w:rFonts w:ascii="Times New Roman" w:hAnsi="Times New Roman" w:cs="Times New Roman"/>
          <w:sz w:val="28"/>
          <w:szCs w:val="28"/>
          <w:lang w:val="uk-UA" w:bidi="uk-UA"/>
        </w:rPr>
        <w:t>іністрація</w:t>
      </w:r>
      <w:r w:rsidRPr="00A6607D">
        <w:rPr>
          <w:rFonts w:ascii="Times New Roman" w:hAnsi="Times New Roman" w:cs="Times New Roman"/>
          <w:sz w:val="28"/>
          <w:szCs w:val="28"/>
          <w:lang w:val="uk-UA" w:bidi="uk-UA"/>
        </w:rPr>
        <w:t>) а</w:t>
      </w:r>
      <w:r w:rsidRPr="00A6607D">
        <w:rPr>
          <w:rFonts w:ascii="Times New Roman" w:hAnsi="Times New Roman" w:cs="Times New Roman"/>
          <w:sz w:val="28"/>
          <w:szCs w:val="28"/>
          <w:lang w:bidi="uk-UA"/>
        </w:rPr>
        <w:t>плікаційна форма автоматично розрах</w:t>
      </w:r>
      <w:r w:rsidR="00C12DE0" w:rsidRPr="00A6607D">
        <w:rPr>
          <w:rFonts w:ascii="Times New Roman" w:hAnsi="Times New Roman" w:cs="Times New Roman"/>
          <w:sz w:val="28"/>
          <w:szCs w:val="28"/>
          <w:lang w:val="uk-UA" w:bidi="uk-UA"/>
        </w:rPr>
        <w:t>овує</w:t>
      </w:r>
      <w:r w:rsidRPr="00A6607D">
        <w:rPr>
          <w:rFonts w:ascii="Times New Roman" w:hAnsi="Times New Roman" w:cs="Times New Roman"/>
          <w:sz w:val="28"/>
          <w:szCs w:val="28"/>
          <w:lang w:bidi="uk-UA"/>
        </w:rPr>
        <w:t xml:space="preserve"> бюджет, що відповідає 15% від запланованих витрат на персонал для кожного партнера, який </w:t>
      </w:r>
      <w:r w:rsidRPr="00A6607D">
        <w:rPr>
          <w:rFonts w:ascii="Times New Roman" w:hAnsi="Times New Roman" w:cs="Times New Roman"/>
          <w:sz w:val="28"/>
          <w:szCs w:val="28"/>
          <w:lang w:val="uk-UA" w:bidi="uk-UA"/>
        </w:rPr>
        <w:t xml:space="preserve">звітує за семестр. </w:t>
      </w:r>
    </w:p>
    <w:p w14:paraId="7243CABC" w14:textId="77777777" w:rsidR="00853076" w:rsidRPr="00A6607D" w:rsidRDefault="00853076" w:rsidP="00E1512D">
      <w:pPr>
        <w:pStyle w:val="a6"/>
        <w:ind w:firstLine="708"/>
        <w:rPr>
          <w:rFonts w:ascii="Times New Roman" w:hAnsi="Times New Roman" w:cs="Times New Roman"/>
          <w:sz w:val="28"/>
          <w:szCs w:val="28"/>
          <w:lang w:val="uk-UA" w:bidi="uk-UA"/>
        </w:rPr>
      </w:pPr>
      <w:r w:rsidRPr="002217E4">
        <w:rPr>
          <w:rFonts w:ascii="Times New Roman" w:hAnsi="Times New Roman" w:cs="Times New Roman"/>
          <w:sz w:val="28"/>
          <w:szCs w:val="28"/>
          <w:lang w:val="uk-UA" w:bidi="uk-UA"/>
        </w:rPr>
        <w:lastRenderedPageBreak/>
        <w:t>Строк реалізації Програми</w:t>
      </w:r>
      <w:r w:rsidRPr="00A6607D">
        <w:rPr>
          <w:rFonts w:ascii="Times New Roman" w:hAnsi="Times New Roman" w:cs="Times New Roman"/>
          <w:sz w:val="28"/>
          <w:szCs w:val="28"/>
          <w:lang w:val="uk-UA" w:bidi="uk-UA"/>
        </w:rPr>
        <w:t xml:space="preserve"> з</w:t>
      </w:r>
      <w:r w:rsidRPr="002217E4">
        <w:rPr>
          <w:rFonts w:ascii="Times New Roman" w:hAnsi="Times New Roman" w:cs="Times New Roman"/>
          <w:sz w:val="28"/>
          <w:szCs w:val="28"/>
          <w:lang w:val="uk-UA" w:bidi="uk-UA"/>
        </w:rPr>
        <w:t>агальна тривалість 51 місяць</w:t>
      </w:r>
      <w:r w:rsidRPr="00A6607D">
        <w:rPr>
          <w:rFonts w:ascii="Times New Roman" w:hAnsi="Times New Roman" w:cs="Times New Roman"/>
          <w:sz w:val="28"/>
          <w:szCs w:val="28"/>
          <w:lang w:val="uk-UA" w:bidi="uk-UA"/>
        </w:rPr>
        <w:t>, а саме о</w:t>
      </w:r>
      <w:r w:rsidRPr="002217E4">
        <w:rPr>
          <w:rFonts w:ascii="Times New Roman" w:hAnsi="Times New Roman" w:cs="Times New Roman"/>
          <w:sz w:val="28"/>
          <w:szCs w:val="28"/>
          <w:lang w:val="uk-UA" w:bidi="uk-UA"/>
        </w:rPr>
        <w:t>сновна фаз</w:t>
      </w:r>
      <w:r w:rsidRPr="00A6607D">
        <w:rPr>
          <w:rFonts w:ascii="Times New Roman" w:hAnsi="Times New Roman" w:cs="Times New Roman"/>
          <w:sz w:val="28"/>
          <w:szCs w:val="28"/>
          <w:lang w:val="uk-UA" w:bidi="uk-UA"/>
        </w:rPr>
        <w:t>а-</w:t>
      </w:r>
      <w:r w:rsidRPr="002217E4">
        <w:rPr>
          <w:rFonts w:ascii="Times New Roman" w:hAnsi="Times New Roman" w:cs="Times New Roman"/>
          <w:sz w:val="28"/>
          <w:szCs w:val="28"/>
          <w:lang w:val="uk-UA" w:bidi="uk-UA"/>
        </w:rPr>
        <w:t xml:space="preserve"> 36 місяців</w:t>
      </w:r>
      <w:r w:rsidRPr="00A6607D">
        <w:rPr>
          <w:rFonts w:ascii="Times New Roman" w:hAnsi="Times New Roman" w:cs="Times New Roman"/>
          <w:sz w:val="28"/>
          <w:szCs w:val="28"/>
          <w:lang w:val="uk-UA" w:bidi="uk-UA"/>
        </w:rPr>
        <w:t>, ф</w:t>
      </w:r>
      <w:r w:rsidRPr="002217E4">
        <w:rPr>
          <w:rFonts w:ascii="Times New Roman" w:hAnsi="Times New Roman" w:cs="Times New Roman"/>
          <w:sz w:val="28"/>
          <w:szCs w:val="28"/>
          <w:lang w:val="uk-UA" w:bidi="uk-UA"/>
        </w:rPr>
        <w:t>аза підтримки</w:t>
      </w:r>
      <w:r w:rsidRPr="00A6607D">
        <w:rPr>
          <w:rFonts w:ascii="Times New Roman" w:hAnsi="Times New Roman" w:cs="Times New Roman"/>
          <w:sz w:val="28"/>
          <w:szCs w:val="28"/>
          <w:lang w:val="uk-UA" w:bidi="uk-UA"/>
        </w:rPr>
        <w:t xml:space="preserve"> </w:t>
      </w:r>
      <w:r w:rsidRPr="002217E4">
        <w:rPr>
          <w:rFonts w:ascii="Times New Roman" w:hAnsi="Times New Roman" w:cs="Times New Roman"/>
          <w:sz w:val="28"/>
          <w:szCs w:val="28"/>
          <w:lang w:val="uk-UA" w:bidi="uk-UA"/>
        </w:rPr>
        <w:t xml:space="preserve"> 12 місяців</w:t>
      </w:r>
      <w:r w:rsidRPr="00A6607D">
        <w:rPr>
          <w:rFonts w:ascii="Times New Roman" w:hAnsi="Times New Roman" w:cs="Times New Roman"/>
          <w:sz w:val="28"/>
          <w:szCs w:val="28"/>
          <w:lang w:val="uk-UA" w:bidi="uk-UA"/>
        </w:rPr>
        <w:t>, ф</w:t>
      </w:r>
      <w:r w:rsidRPr="002217E4">
        <w:rPr>
          <w:rFonts w:ascii="Times New Roman" w:hAnsi="Times New Roman" w:cs="Times New Roman"/>
          <w:sz w:val="28"/>
          <w:szCs w:val="28"/>
          <w:lang w:val="uk-UA" w:bidi="uk-UA"/>
        </w:rPr>
        <w:t>аза закриття 3 місяці</w:t>
      </w:r>
      <w:r w:rsidRPr="00A6607D">
        <w:rPr>
          <w:rFonts w:ascii="Times New Roman" w:hAnsi="Times New Roman" w:cs="Times New Roman"/>
          <w:sz w:val="28"/>
          <w:szCs w:val="28"/>
          <w:lang w:val="uk-UA" w:bidi="uk-UA"/>
        </w:rPr>
        <w:t>.</w:t>
      </w:r>
    </w:p>
    <w:p w14:paraId="2DC5800A" w14:textId="77777777" w:rsidR="00D01AA4" w:rsidRPr="002217E4" w:rsidRDefault="00D01AA4" w:rsidP="00E1512D">
      <w:pPr>
        <w:pStyle w:val="a6"/>
        <w:jc w:val="both"/>
        <w:rPr>
          <w:rFonts w:ascii="Times New Roman" w:hAnsi="Times New Roman" w:cs="Times New Roman"/>
          <w:spacing w:val="-12"/>
          <w:sz w:val="28"/>
          <w:szCs w:val="28"/>
          <w:lang w:val="uk-UA" w:bidi="uk-UA"/>
        </w:rPr>
      </w:pPr>
    </w:p>
    <w:p w14:paraId="0CCDCF49" w14:textId="36501C0B" w:rsidR="00697ED3" w:rsidRPr="00A6607D" w:rsidRDefault="00E8087A" w:rsidP="00E1512D">
      <w:pPr>
        <w:pStyle w:val="a6"/>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b/>
          <w:bCs/>
          <w:spacing w:val="-12"/>
          <w:sz w:val="28"/>
          <w:szCs w:val="28"/>
          <w:lang w:bidi="uk-UA"/>
        </w:rPr>
        <w:t>Витрати на персонал</w:t>
      </w:r>
      <w:r w:rsidRPr="00A6607D">
        <w:rPr>
          <w:rFonts w:ascii="Times New Roman" w:hAnsi="Times New Roman" w:cs="Times New Roman"/>
          <w:spacing w:val="-12"/>
          <w:sz w:val="28"/>
          <w:szCs w:val="28"/>
          <w:lang w:bidi="uk-UA"/>
        </w:rPr>
        <w:t xml:space="preserve"> покривають витрати на співробітників, які безпосередньо працюють над про</w:t>
      </w:r>
      <w:r w:rsidR="009E43E5">
        <w:rPr>
          <w:rFonts w:ascii="Times New Roman" w:hAnsi="Times New Roman" w:cs="Times New Roman"/>
          <w:spacing w:val="-12"/>
          <w:sz w:val="28"/>
          <w:szCs w:val="28"/>
          <w:lang w:val="uk-UA" w:bidi="uk-UA"/>
        </w:rPr>
        <w:t>є</w:t>
      </w:r>
      <w:r w:rsidRPr="00A6607D">
        <w:rPr>
          <w:rFonts w:ascii="Times New Roman" w:hAnsi="Times New Roman" w:cs="Times New Roman"/>
          <w:spacing w:val="-12"/>
          <w:sz w:val="28"/>
          <w:szCs w:val="28"/>
          <w:lang w:bidi="uk-UA"/>
        </w:rPr>
        <w:t>ктом. Витрати на персонал</w:t>
      </w:r>
      <w:r w:rsidR="003D706F">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bidi="uk-UA"/>
        </w:rPr>
        <w:t xml:space="preserve">- це валові витрати </w:t>
      </w:r>
      <w:r w:rsidRPr="00A6607D">
        <w:rPr>
          <w:rFonts w:ascii="Times New Roman" w:hAnsi="Times New Roman" w:cs="Times New Roman"/>
          <w:spacing w:val="-12"/>
          <w:sz w:val="28"/>
          <w:szCs w:val="28"/>
          <w:lang w:val="uk-UA" w:bidi="uk-UA"/>
        </w:rPr>
        <w:t xml:space="preserve">виконавчого </w:t>
      </w:r>
      <w:proofErr w:type="gramStart"/>
      <w:r w:rsidRPr="00A6607D">
        <w:rPr>
          <w:rFonts w:ascii="Times New Roman" w:hAnsi="Times New Roman" w:cs="Times New Roman"/>
          <w:spacing w:val="-12"/>
          <w:sz w:val="28"/>
          <w:szCs w:val="28"/>
          <w:lang w:val="uk-UA" w:bidi="uk-UA"/>
        </w:rPr>
        <w:t xml:space="preserve">комітету </w:t>
      </w:r>
      <w:r w:rsidRPr="00A6607D">
        <w:rPr>
          <w:rFonts w:ascii="Times New Roman" w:hAnsi="Times New Roman" w:cs="Times New Roman"/>
          <w:spacing w:val="-12"/>
          <w:sz w:val="28"/>
          <w:szCs w:val="28"/>
          <w:lang w:bidi="uk-UA"/>
        </w:rPr>
        <w:t xml:space="preserve"> на</w:t>
      </w:r>
      <w:proofErr w:type="gramEnd"/>
      <w:r w:rsidRPr="00A6607D">
        <w:rPr>
          <w:rFonts w:ascii="Times New Roman" w:hAnsi="Times New Roman" w:cs="Times New Roman"/>
          <w:spacing w:val="-12"/>
          <w:sz w:val="28"/>
          <w:szCs w:val="28"/>
          <w:lang w:bidi="uk-UA"/>
        </w:rPr>
        <w:t xml:space="preserve"> оплату праці</w:t>
      </w:r>
      <w:r w:rsidR="00C12DE0" w:rsidRPr="00A6607D">
        <w:rPr>
          <w:rFonts w:ascii="Times New Roman" w:hAnsi="Times New Roman" w:cs="Times New Roman"/>
          <w:spacing w:val="-12"/>
          <w:sz w:val="28"/>
          <w:szCs w:val="28"/>
          <w:lang w:val="uk-UA" w:bidi="uk-UA"/>
        </w:rPr>
        <w:t xml:space="preserve"> разом з нарахуваннями на заробітну плату. </w:t>
      </w:r>
      <w:r w:rsidRPr="002217E4">
        <w:rPr>
          <w:rFonts w:ascii="Times New Roman" w:hAnsi="Times New Roman" w:cs="Times New Roman"/>
          <w:spacing w:val="-12"/>
          <w:sz w:val="28"/>
          <w:szCs w:val="28"/>
          <w:lang w:val="uk-UA" w:bidi="uk-UA"/>
        </w:rPr>
        <w:t>Для</w:t>
      </w:r>
      <w:r w:rsidRPr="00A6607D">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bidi="uk-UA"/>
        </w:rPr>
        <w:t>Interreg</w:t>
      </w:r>
      <w:r w:rsidRPr="002217E4">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bidi="uk-UA"/>
        </w:rPr>
        <w:t>Europe</w:t>
      </w:r>
      <w:r w:rsidRPr="002217E4">
        <w:rPr>
          <w:rFonts w:ascii="Times New Roman" w:hAnsi="Times New Roman" w:cs="Times New Roman"/>
          <w:spacing w:val="-12"/>
          <w:sz w:val="28"/>
          <w:szCs w:val="28"/>
          <w:lang w:val="uk-UA" w:bidi="uk-UA"/>
        </w:rPr>
        <w:t xml:space="preserve"> витрати на персонал працівників, які працю</w:t>
      </w:r>
      <w:r w:rsidR="009E43E5">
        <w:rPr>
          <w:rFonts w:ascii="Times New Roman" w:hAnsi="Times New Roman" w:cs="Times New Roman"/>
          <w:spacing w:val="-12"/>
          <w:sz w:val="28"/>
          <w:szCs w:val="28"/>
          <w:lang w:val="uk-UA" w:bidi="uk-UA"/>
        </w:rPr>
        <w:t>ють неповний робочий день у проє</w:t>
      </w:r>
      <w:r w:rsidRPr="002217E4">
        <w:rPr>
          <w:rFonts w:ascii="Times New Roman" w:hAnsi="Times New Roman" w:cs="Times New Roman"/>
          <w:spacing w:val="-12"/>
          <w:sz w:val="28"/>
          <w:szCs w:val="28"/>
          <w:lang w:val="uk-UA" w:bidi="uk-UA"/>
        </w:rPr>
        <w:t>кті, повинні бути розраховані з використанням фіксованого відсотка від валових витрат на оплату праці1 (включаючи внески роботодавця) відповідно до статті 55 (5) Регламенту (ЄС) № 2021/1060</w:t>
      </w:r>
      <w:r w:rsidRPr="00A6607D">
        <w:rPr>
          <w:rFonts w:ascii="Times New Roman" w:hAnsi="Times New Roman" w:cs="Times New Roman"/>
          <w:spacing w:val="-12"/>
          <w:sz w:val="28"/>
          <w:szCs w:val="28"/>
          <w:lang w:val="uk-UA" w:bidi="uk-UA"/>
        </w:rPr>
        <w:t>.</w:t>
      </w:r>
    </w:p>
    <w:p w14:paraId="4E95DA37" w14:textId="45417261" w:rsidR="00E8087A" w:rsidRPr="00A6607D" w:rsidRDefault="00205D6E" w:rsidP="00E1512D">
      <w:pPr>
        <w:pStyle w:val="a6"/>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bidi="uk-UA"/>
        </w:rPr>
        <w:t>Витрати на персонал повинні бути розраховані індивідуально для кожного працівника</w:t>
      </w:r>
      <w:r w:rsidR="000E658B" w:rsidRPr="00A6607D">
        <w:rPr>
          <w:rFonts w:ascii="Times New Roman" w:hAnsi="Times New Roman" w:cs="Times New Roman"/>
          <w:spacing w:val="-12"/>
          <w:sz w:val="28"/>
          <w:szCs w:val="28"/>
          <w:lang w:val="uk-UA" w:bidi="uk-UA"/>
        </w:rPr>
        <w:t xml:space="preserve"> і мають бути </w:t>
      </w:r>
      <w:r w:rsidRPr="00A6607D">
        <w:rPr>
          <w:rFonts w:ascii="Times New Roman" w:hAnsi="Times New Roman" w:cs="Times New Roman"/>
          <w:spacing w:val="-12"/>
          <w:sz w:val="28"/>
          <w:szCs w:val="28"/>
          <w:lang w:bidi="uk-UA"/>
        </w:rPr>
        <w:t xml:space="preserve">пов'язані з витратами на діяльність, яку відповідний партнер </w:t>
      </w:r>
      <w:r w:rsidR="00D01AA4" w:rsidRPr="00A6607D">
        <w:rPr>
          <w:rFonts w:ascii="Times New Roman" w:hAnsi="Times New Roman" w:cs="Times New Roman"/>
          <w:spacing w:val="-12"/>
          <w:sz w:val="28"/>
          <w:szCs w:val="28"/>
          <w:lang w:val="uk-UA" w:bidi="uk-UA"/>
        </w:rPr>
        <w:t xml:space="preserve">проекту </w:t>
      </w:r>
      <w:r w:rsidRPr="00A6607D">
        <w:rPr>
          <w:rFonts w:ascii="Times New Roman" w:hAnsi="Times New Roman" w:cs="Times New Roman"/>
          <w:spacing w:val="-12"/>
          <w:sz w:val="28"/>
          <w:szCs w:val="28"/>
          <w:lang w:bidi="uk-UA"/>
        </w:rPr>
        <w:t>не здійснював би за відсутності про</w:t>
      </w:r>
      <w:r w:rsidR="009E43E5">
        <w:rPr>
          <w:rFonts w:ascii="Times New Roman" w:hAnsi="Times New Roman" w:cs="Times New Roman"/>
          <w:spacing w:val="-12"/>
          <w:sz w:val="28"/>
          <w:szCs w:val="28"/>
          <w:lang w:val="uk-UA" w:bidi="uk-UA"/>
        </w:rPr>
        <w:t>є</w:t>
      </w:r>
      <w:r w:rsidRPr="00A6607D">
        <w:rPr>
          <w:rFonts w:ascii="Times New Roman" w:hAnsi="Times New Roman" w:cs="Times New Roman"/>
          <w:spacing w:val="-12"/>
          <w:sz w:val="28"/>
          <w:szCs w:val="28"/>
          <w:lang w:bidi="uk-UA"/>
        </w:rPr>
        <w:t>кту</w:t>
      </w:r>
      <w:r w:rsidRPr="00A6607D">
        <w:rPr>
          <w:rFonts w:ascii="Times New Roman" w:hAnsi="Times New Roman" w:cs="Times New Roman"/>
          <w:spacing w:val="-12"/>
          <w:sz w:val="28"/>
          <w:szCs w:val="28"/>
          <w:lang w:val="uk-UA" w:bidi="uk-UA"/>
        </w:rPr>
        <w:t>.</w:t>
      </w:r>
    </w:p>
    <w:p w14:paraId="65E160BF" w14:textId="77777777" w:rsidR="00205D6E" w:rsidRPr="00A6607D" w:rsidRDefault="00205D6E" w:rsidP="00E1512D">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ab/>
        <w:t xml:space="preserve">Для  обгрунтування прийнятості витрат на персонал необхідно контролеру подати  такі документи: </w:t>
      </w:r>
    </w:p>
    <w:p w14:paraId="25101F4D" w14:textId="193D7E03" w:rsidR="00205D6E" w:rsidRPr="00A6607D" w:rsidRDefault="00205D6E" w:rsidP="00E1512D">
      <w:pPr>
        <w:pStyle w:val="a6"/>
        <w:numPr>
          <w:ilvl w:val="0"/>
          <w:numId w:val="5"/>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документ, що визнач</w:t>
      </w:r>
      <w:r w:rsidR="002140F0">
        <w:rPr>
          <w:rFonts w:ascii="Times New Roman" w:hAnsi="Times New Roman" w:cs="Times New Roman"/>
          <w:spacing w:val="-12"/>
          <w:sz w:val="28"/>
          <w:szCs w:val="28"/>
          <w:lang w:val="uk-UA" w:bidi="uk-UA"/>
        </w:rPr>
        <w:t>ає  реальні витрати на заробітну плату;</w:t>
      </w:r>
    </w:p>
    <w:p w14:paraId="768D9ABF" w14:textId="7511A21B" w:rsidR="00205D6E" w:rsidRPr="00A6607D" w:rsidRDefault="002140F0" w:rsidP="00E1512D">
      <w:pPr>
        <w:pStyle w:val="a6"/>
        <w:numPr>
          <w:ilvl w:val="0"/>
          <w:numId w:val="5"/>
        </w:numPr>
        <w:jc w:val="both"/>
        <w:rPr>
          <w:rFonts w:ascii="Times New Roman" w:hAnsi="Times New Roman" w:cs="Times New Roman"/>
          <w:spacing w:val="-12"/>
          <w:sz w:val="28"/>
          <w:szCs w:val="28"/>
          <w:lang w:val="uk-UA" w:bidi="uk-UA"/>
        </w:rPr>
      </w:pPr>
      <w:r>
        <w:rPr>
          <w:rFonts w:ascii="Times New Roman" w:hAnsi="Times New Roman" w:cs="Times New Roman"/>
          <w:spacing w:val="-12"/>
          <w:sz w:val="28"/>
          <w:szCs w:val="28"/>
          <w:lang w:val="uk-UA" w:bidi="uk-UA"/>
        </w:rPr>
        <w:t>підтвердження оплати;</w:t>
      </w:r>
    </w:p>
    <w:p w14:paraId="3176800F" w14:textId="45345B0F" w:rsidR="00205D6E" w:rsidRPr="00A6607D" w:rsidRDefault="00205D6E" w:rsidP="00E1512D">
      <w:pPr>
        <w:pStyle w:val="a6"/>
        <w:numPr>
          <w:ilvl w:val="0"/>
          <w:numId w:val="5"/>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документ, що дозволяє ід</w:t>
      </w:r>
      <w:r w:rsidR="002140F0">
        <w:rPr>
          <w:rFonts w:ascii="Times New Roman" w:hAnsi="Times New Roman" w:cs="Times New Roman"/>
          <w:spacing w:val="-12"/>
          <w:sz w:val="28"/>
          <w:szCs w:val="28"/>
          <w:lang w:val="uk-UA" w:bidi="uk-UA"/>
        </w:rPr>
        <w:t>ентифікувати  трудові відносини;</w:t>
      </w:r>
    </w:p>
    <w:p w14:paraId="2A1B7DDE" w14:textId="77777777" w:rsidR="00931092" w:rsidRPr="00A6607D" w:rsidRDefault="00205D6E" w:rsidP="00E1512D">
      <w:pPr>
        <w:pStyle w:val="a6"/>
        <w:numPr>
          <w:ilvl w:val="0"/>
          <w:numId w:val="5"/>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л</w:t>
      </w:r>
      <w:r w:rsidR="00E8087A" w:rsidRPr="00A6607D">
        <w:rPr>
          <w:rFonts w:ascii="Times New Roman" w:hAnsi="Times New Roman" w:cs="Times New Roman"/>
          <w:spacing w:val="-12"/>
          <w:sz w:val="28"/>
          <w:szCs w:val="28"/>
          <w:lang w:val="uk-UA" w:bidi="uk-UA"/>
        </w:rPr>
        <w:t>ист</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із</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завданням</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або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документ,</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що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встановлює</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фіксований</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відсоток</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роботи</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над</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проектом</w:t>
      </w:r>
      <w:r w:rsidRPr="00A6607D">
        <w:rPr>
          <w:rFonts w:ascii="Times New Roman" w:hAnsi="Times New Roman" w:cs="Times New Roman"/>
          <w:spacing w:val="-12"/>
          <w:sz w:val="28"/>
          <w:szCs w:val="28"/>
          <w:lang w:val="uk-UA" w:bidi="uk-UA"/>
        </w:rPr>
        <w:t xml:space="preserve">,  і </w:t>
      </w:r>
      <w:r w:rsidR="00E8087A" w:rsidRPr="00A6607D">
        <w:rPr>
          <w:rFonts w:ascii="Times New Roman" w:hAnsi="Times New Roman" w:cs="Times New Roman"/>
          <w:spacing w:val="-12"/>
          <w:sz w:val="28"/>
          <w:szCs w:val="28"/>
          <w:lang w:val="uk-UA" w:bidi="uk-UA"/>
        </w:rPr>
        <w:t>видається</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для</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конкретного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працівника</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початку</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періоду,</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якого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він</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застосовується</w:t>
      </w:r>
      <w:r w:rsidRPr="00A6607D">
        <w:rPr>
          <w:rFonts w:ascii="Times New Roman" w:hAnsi="Times New Roman" w:cs="Times New Roman"/>
          <w:spacing w:val="-12"/>
          <w:sz w:val="28"/>
          <w:szCs w:val="28"/>
          <w:lang w:val="uk-UA" w:bidi="uk-UA"/>
        </w:rPr>
        <w:t>, д</w:t>
      </w:r>
      <w:r w:rsidR="00E8087A" w:rsidRPr="00A6607D">
        <w:rPr>
          <w:rFonts w:ascii="Times New Roman" w:hAnsi="Times New Roman" w:cs="Times New Roman"/>
          <w:spacing w:val="-12"/>
          <w:sz w:val="28"/>
          <w:szCs w:val="28"/>
          <w:lang w:val="uk-UA" w:bidi="uk-UA"/>
        </w:rPr>
        <w:t>атується</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та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підписується</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працівником</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і</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безпосереднім</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керівником</w:t>
      </w:r>
      <w:r w:rsidR="003337F0" w:rsidRPr="00A6607D">
        <w:rPr>
          <w:rFonts w:ascii="Times New Roman" w:hAnsi="Times New Roman" w:cs="Times New Roman"/>
          <w:spacing w:val="-12"/>
          <w:sz w:val="28"/>
          <w:szCs w:val="28"/>
          <w:lang w:val="uk-UA" w:bidi="uk-UA"/>
        </w:rPr>
        <w:t xml:space="preserve"> та </w:t>
      </w:r>
      <w:r w:rsidR="00E8087A" w:rsidRPr="00A6607D">
        <w:rPr>
          <w:rFonts w:ascii="Times New Roman" w:hAnsi="Times New Roman" w:cs="Times New Roman"/>
          <w:spacing w:val="-12"/>
          <w:sz w:val="28"/>
          <w:szCs w:val="28"/>
          <w:lang w:val="uk-UA" w:bidi="uk-UA"/>
        </w:rPr>
        <w:t>містить</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відсоток</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часу,</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присвяченого</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проекту</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місяць,</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також</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опис</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ролі,</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обов'язків</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та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щомісячних</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завдань,</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пов'язаних</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проектом,</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покладених</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відповідного</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працівника,</w:t>
      </w:r>
      <w:r w:rsidR="003337F0" w:rsidRPr="00A6607D">
        <w:rPr>
          <w:rFonts w:ascii="Times New Roman" w:hAnsi="Times New Roman" w:cs="Times New Roman"/>
          <w:spacing w:val="-12"/>
          <w:sz w:val="28"/>
          <w:szCs w:val="28"/>
          <w:lang w:val="uk-UA" w:bidi="uk-UA"/>
        </w:rPr>
        <w:t xml:space="preserve"> і  який  </w:t>
      </w:r>
      <w:r w:rsidR="00E8087A" w:rsidRPr="00A6607D">
        <w:rPr>
          <w:rFonts w:ascii="Times New Roman" w:hAnsi="Times New Roman" w:cs="Times New Roman"/>
          <w:spacing w:val="-12"/>
          <w:sz w:val="28"/>
          <w:szCs w:val="28"/>
          <w:lang w:val="uk-UA" w:bidi="uk-UA"/>
        </w:rPr>
        <w:t>надає</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достатні</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докази</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розподілу</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часу</w:t>
      </w:r>
      <w:r w:rsidR="00931092" w:rsidRPr="00A6607D">
        <w:rPr>
          <w:rFonts w:ascii="Times New Roman" w:hAnsi="Times New Roman" w:cs="Times New Roman"/>
          <w:spacing w:val="-12"/>
          <w:sz w:val="28"/>
          <w:szCs w:val="28"/>
          <w:lang w:val="uk-UA" w:bidi="uk-UA"/>
        </w:rPr>
        <w:t>.</w:t>
      </w:r>
    </w:p>
    <w:p w14:paraId="7BB86CE2" w14:textId="77777777" w:rsidR="003337F0" w:rsidRPr="00A6607D" w:rsidRDefault="003337F0" w:rsidP="00E1512D">
      <w:pPr>
        <w:pStyle w:val="a6"/>
        <w:ind w:left="317"/>
        <w:jc w:val="both"/>
        <w:rPr>
          <w:rFonts w:ascii="Times New Roman" w:hAnsi="Times New Roman" w:cs="Times New Roman"/>
          <w:spacing w:val="-12"/>
          <w:sz w:val="28"/>
          <w:szCs w:val="28"/>
          <w:lang w:val="uk-UA" w:bidi="uk-UA"/>
        </w:rPr>
      </w:pPr>
    </w:p>
    <w:p w14:paraId="6D3625FE" w14:textId="42589FEC" w:rsidR="00697ED3" w:rsidRPr="00A6607D" w:rsidRDefault="003337F0" w:rsidP="00E1512D">
      <w:pPr>
        <w:pStyle w:val="a6"/>
        <w:ind w:firstLine="317"/>
        <w:jc w:val="both"/>
        <w:rPr>
          <w:rFonts w:ascii="Times New Roman" w:hAnsi="Times New Roman" w:cs="Times New Roman"/>
          <w:sz w:val="28"/>
          <w:szCs w:val="28"/>
          <w:lang w:bidi="uk-UA"/>
        </w:rPr>
      </w:pPr>
      <w:r w:rsidRPr="002217E4">
        <w:rPr>
          <w:rFonts w:ascii="Times New Roman" w:hAnsi="Times New Roman" w:cs="Times New Roman"/>
          <w:b/>
          <w:bCs/>
          <w:sz w:val="28"/>
          <w:szCs w:val="28"/>
          <w:lang w:val="uk-UA" w:bidi="uk-UA"/>
        </w:rPr>
        <w:t>Офісні та адміністративні витрати</w:t>
      </w:r>
      <w:r w:rsidRPr="002217E4">
        <w:rPr>
          <w:rFonts w:ascii="Times New Roman" w:hAnsi="Times New Roman" w:cs="Times New Roman"/>
          <w:sz w:val="28"/>
          <w:szCs w:val="28"/>
          <w:lang w:val="uk-UA" w:bidi="uk-UA"/>
        </w:rPr>
        <w:t xml:space="preserve"> покривають загальні адміністративні витрати партнерської організації, необхідні для реалізації про</w:t>
      </w:r>
      <w:r w:rsidR="009E43E5">
        <w:rPr>
          <w:rFonts w:ascii="Times New Roman" w:hAnsi="Times New Roman" w:cs="Times New Roman"/>
          <w:sz w:val="28"/>
          <w:szCs w:val="28"/>
          <w:lang w:val="uk-UA" w:bidi="uk-UA"/>
        </w:rPr>
        <w:t>є</w:t>
      </w:r>
      <w:r w:rsidRPr="002217E4">
        <w:rPr>
          <w:rFonts w:ascii="Times New Roman" w:hAnsi="Times New Roman" w:cs="Times New Roman"/>
          <w:sz w:val="28"/>
          <w:szCs w:val="28"/>
          <w:lang w:val="uk-UA" w:bidi="uk-UA"/>
        </w:rPr>
        <w:t>ктної діяльності</w:t>
      </w:r>
      <w:r w:rsidRPr="00A6607D">
        <w:rPr>
          <w:rFonts w:ascii="Times New Roman" w:hAnsi="Times New Roman" w:cs="Times New Roman"/>
          <w:sz w:val="28"/>
          <w:szCs w:val="28"/>
          <w:lang w:val="uk-UA" w:bidi="uk-UA"/>
        </w:rPr>
        <w:t>.</w:t>
      </w:r>
      <w:r w:rsidRPr="002217E4">
        <w:rPr>
          <w:rFonts w:ascii="Times New Roman" w:eastAsia="Calibri" w:hAnsi="Times New Roman" w:cs="Times New Roman"/>
          <w:kern w:val="2"/>
          <w:sz w:val="24"/>
          <w:szCs w:val="24"/>
          <w:lang w:val="uk-UA" w:eastAsia="hi-IN" w:bidi="hi-IN"/>
        </w:rPr>
        <w:t xml:space="preserve"> </w:t>
      </w:r>
      <w:r w:rsidRPr="002217E4">
        <w:rPr>
          <w:rFonts w:ascii="Times New Roman" w:hAnsi="Times New Roman" w:cs="Times New Roman"/>
          <w:sz w:val="28"/>
          <w:szCs w:val="28"/>
          <w:lang w:val="uk-UA" w:bidi="uk-UA"/>
        </w:rPr>
        <w:t>Відповідно до статті 54 (</w:t>
      </w:r>
      <w:r w:rsidRPr="00A6607D">
        <w:rPr>
          <w:rFonts w:ascii="Times New Roman" w:hAnsi="Times New Roman" w:cs="Times New Roman"/>
          <w:sz w:val="28"/>
          <w:szCs w:val="28"/>
          <w:lang w:bidi="uk-UA"/>
        </w:rPr>
        <w:t>b</w:t>
      </w:r>
      <w:r w:rsidRPr="002217E4">
        <w:rPr>
          <w:rFonts w:ascii="Times New Roman" w:hAnsi="Times New Roman" w:cs="Times New Roman"/>
          <w:sz w:val="28"/>
          <w:szCs w:val="28"/>
          <w:lang w:val="uk-UA" w:bidi="uk-UA"/>
        </w:rPr>
        <w:t xml:space="preserve">) Регламенту (ЄС) № 2021/1060, офісні та адміністративні витрати повинні бути передбачені в бюджеті та звітуватися як фіксована ставка в розмірі 15% від витрат на персонал кожного партнера. </w:t>
      </w:r>
      <w:r w:rsidRPr="00A6607D">
        <w:rPr>
          <w:rFonts w:ascii="Times New Roman" w:hAnsi="Times New Roman" w:cs="Times New Roman"/>
          <w:sz w:val="28"/>
          <w:szCs w:val="28"/>
          <w:lang w:bidi="uk-UA"/>
        </w:rPr>
        <w:t xml:space="preserve">Відповідно до статті 40 Регламенту (ЄС) № 2021/1059, </w:t>
      </w:r>
      <w:bookmarkStart w:id="9" w:name="_Hlk215072625"/>
      <w:r w:rsidRPr="00A6607D">
        <w:rPr>
          <w:rFonts w:ascii="Times New Roman" w:hAnsi="Times New Roman" w:cs="Times New Roman"/>
          <w:sz w:val="28"/>
          <w:szCs w:val="28"/>
          <w:lang w:bidi="uk-UA"/>
        </w:rPr>
        <w:t xml:space="preserve">офісні та адміністративні витрати </w:t>
      </w:r>
      <w:bookmarkEnd w:id="9"/>
      <w:r w:rsidRPr="00A6607D">
        <w:rPr>
          <w:rFonts w:ascii="Times New Roman" w:hAnsi="Times New Roman" w:cs="Times New Roman"/>
          <w:sz w:val="28"/>
          <w:szCs w:val="28"/>
          <w:lang w:bidi="uk-UA"/>
        </w:rPr>
        <w:t>обмежуються наступними статтями:</w:t>
      </w:r>
    </w:p>
    <w:p w14:paraId="515C5FE8" w14:textId="7DEEAE11"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оренда офісу;</w:t>
      </w:r>
    </w:p>
    <w:p w14:paraId="5FD83101" w14:textId="479D1B44"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страхування та податки, пов'язані з будівлями, де розміщується персонал, та офісним обладнанням (наприклад, ст</w:t>
      </w:r>
      <w:r w:rsidR="002140F0">
        <w:rPr>
          <w:rFonts w:ascii="Times New Roman" w:hAnsi="Times New Roman" w:cs="Times New Roman"/>
          <w:sz w:val="28"/>
          <w:szCs w:val="28"/>
          <w:lang w:val="uk-UA" w:bidi="uk-UA"/>
        </w:rPr>
        <w:t>рахування від пожежі, крадіжки);</w:t>
      </w:r>
    </w:p>
    <w:p w14:paraId="03DCD885" w14:textId="13D33FBA"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комунальні</w:t>
      </w:r>
      <w:r w:rsidR="00A45B8E"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val="uk-UA" w:bidi="uk-UA"/>
        </w:rPr>
        <w:t>послуги (наприклад, електроенергія, опаленн</w:t>
      </w:r>
      <w:r w:rsidR="002140F0">
        <w:rPr>
          <w:rFonts w:ascii="Times New Roman" w:hAnsi="Times New Roman" w:cs="Times New Roman"/>
          <w:sz w:val="28"/>
          <w:szCs w:val="28"/>
          <w:lang w:val="uk-UA" w:bidi="uk-UA"/>
        </w:rPr>
        <w:t>я, вода);</w:t>
      </w:r>
    </w:p>
    <w:p w14:paraId="4A6B2209" w14:textId="609330B8"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канцелярське приладдя</w:t>
      </w:r>
      <w:r w:rsidR="002140F0">
        <w:rPr>
          <w:rFonts w:ascii="Times New Roman" w:hAnsi="Times New Roman" w:cs="Times New Roman"/>
          <w:sz w:val="28"/>
          <w:szCs w:val="28"/>
          <w:lang w:val="uk-UA" w:bidi="uk-UA"/>
        </w:rPr>
        <w:t xml:space="preserve"> (наприклад, папір, ручки тощо);</w:t>
      </w:r>
    </w:p>
    <w:p w14:paraId="0B058432" w14:textId="1BC70379"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бухгалтерський облік;</w:t>
      </w:r>
    </w:p>
    <w:p w14:paraId="6DAD2C3B" w14:textId="5B7BD512"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архіви;</w:t>
      </w:r>
    </w:p>
    <w:p w14:paraId="2786CADF" w14:textId="62A12886"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технічне обслу</w:t>
      </w:r>
      <w:r w:rsidR="002140F0">
        <w:rPr>
          <w:rFonts w:ascii="Times New Roman" w:hAnsi="Times New Roman" w:cs="Times New Roman"/>
          <w:sz w:val="28"/>
          <w:szCs w:val="28"/>
          <w:lang w:val="uk-UA" w:bidi="uk-UA"/>
        </w:rPr>
        <w:t>говування, прибирання та ремонт;</w:t>
      </w:r>
    </w:p>
    <w:p w14:paraId="7921952A" w14:textId="2D852DFF"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безпека;</w:t>
      </w:r>
    </w:p>
    <w:p w14:paraId="18646964" w14:textId="1922AB0D"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ІТ-системи (наприклад, адміністрування та управління офісним обладнан</w:t>
      </w:r>
      <w:r w:rsidR="002140F0">
        <w:rPr>
          <w:rFonts w:ascii="Times New Roman" w:hAnsi="Times New Roman" w:cs="Times New Roman"/>
          <w:sz w:val="28"/>
          <w:szCs w:val="28"/>
          <w:lang w:val="uk-UA" w:bidi="uk-UA"/>
        </w:rPr>
        <w:t>ням і програмним забезпеченням);</w:t>
      </w:r>
    </w:p>
    <w:p w14:paraId="5F2BE1FD" w14:textId="48B5A4D3"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комунікації (наприклад, телефон, факс, інте</w:t>
      </w:r>
      <w:r w:rsidR="002140F0">
        <w:rPr>
          <w:rFonts w:ascii="Times New Roman" w:hAnsi="Times New Roman" w:cs="Times New Roman"/>
          <w:sz w:val="28"/>
          <w:szCs w:val="28"/>
          <w:lang w:val="uk-UA" w:bidi="uk-UA"/>
        </w:rPr>
        <w:t>рнет, поштові послуги, візитки);</w:t>
      </w:r>
    </w:p>
    <w:p w14:paraId="31899DBF" w14:textId="092FBD4F"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lastRenderedPageBreak/>
        <w:t>банківські збори за відкриття та адміністрування рахунку або рахунків, якщо реалізація проекту вим</w:t>
      </w:r>
      <w:r w:rsidR="003E1525">
        <w:rPr>
          <w:rFonts w:ascii="Times New Roman" w:hAnsi="Times New Roman" w:cs="Times New Roman"/>
          <w:sz w:val="28"/>
          <w:szCs w:val="28"/>
          <w:lang w:val="uk-UA" w:bidi="uk-UA"/>
        </w:rPr>
        <w:t>агає відкриття окремого рахунку;</w:t>
      </w:r>
    </w:p>
    <w:p w14:paraId="07758560" w14:textId="77777777"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збори за транснаціональні фінансові операції.</w:t>
      </w:r>
    </w:p>
    <w:p w14:paraId="428A7750" w14:textId="127AB49F" w:rsidR="003337F0" w:rsidRPr="00A6607D" w:rsidRDefault="003337F0" w:rsidP="00E1512D">
      <w:pPr>
        <w:pStyle w:val="a6"/>
        <w:ind w:firstLine="677"/>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 xml:space="preserve">При подачі звіту  надавати </w:t>
      </w:r>
      <w:r w:rsidR="003E1525" w:rsidRPr="00A6607D">
        <w:rPr>
          <w:rFonts w:ascii="Times New Roman" w:hAnsi="Times New Roman" w:cs="Times New Roman"/>
          <w:sz w:val="28"/>
          <w:szCs w:val="28"/>
          <w:lang w:val="uk-UA" w:bidi="uk-UA"/>
        </w:rPr>
        <w:t>обґрунтування</w:t>
      </w:r>
      <w:r w:rsidRPr="00A6607D">
        <w:rPr>
          <w:rFonts w:ascii="Times New Roman" w:hAnsi="Times New Roman" w:cs="Times New Roman"/>
          <w:sz w:val="28"/>
          <w:szCs w:val="28"/>
          <w:lang w:val="uk-UA" w:bidi="uk-UA"/>
        </w:rPr>
        <w:t xml:space="preserve"> або підтверджуючі документи щодо офісних  та адміністративних витрат</w:t>
      </w:r>
      <w:r w:rsidR="00977B36" w:rsidRPr="00A6607D">
        <w:rPr>
          <w:rFonts w:ascii="Times New Roman" w:hAnsi="Times New Roman" w:cs="Times New Roman"/>
          <w:sz w:val="28"/>
          <w:szCs w:val="28"/>
          <w:lang w:val="uk-UA" w:bidi="uk-UA"/>
        </w:rPr>
        <w:t xml:space="preserve">. </w:t>
      </w:r>
      <w:r w:rsidR="00D01AA4" w:rsidRPr="00A6607D">
        <w:rPr>
          <w:rFonts w:ascii="Times New Roman" w:hAnsi="Times New Roman" w:cs="Times New Roman"/>
          <w:sz w:val="28"/>
          <w:szCs w:val="28"/>
          <w:lang w:val="uk-UA" w:bidi="uk-UA"/>
        </w:rPr>
        <w:t>П</w:t>
      </w:r>
      <w:r w:rsidR="00977B36" w:rsidRPr="00A6607D">
        <w:rPr>
          <w:rFonts w:ascii="Times New Roman" w:hAnsi="Times New Roman" w:cs="Times New Roman"/>
          <w:sz w:val="28"/>
          <w:szCs w:val="28"/>
          <w:lang w:val="uk-UA" w:bidi="uk-UA"/>
        </w:rPr>
        <w:t>еревірка контролера  зосереджена на правильності  звітності  про витрати  персоналу  та на тому, що  жодні витрати, які охоплюють категорією офісних  та адміністративних  витрат, не включаються до жодної іншої категорії витрат.</w:t>
      </w:r>
    </w:p>
    <w:p w14:paraId="550FFDD2" w14:textId="77777777" w:rsidR="00524BBC" w:rsidRPr="00A6607D" w:rsidRDefault="00524BBC" w:rsidP="00E1512D">
      <w:pPr>
        <w:pStyle w:val="a6"/>
        <w:ind w:firstLine="677"/>
        <w:jc w:val="both"/>
        <w:rPr>
          <w:rFonts w:ascii="Times New Roman" w:hAnsi="Times New Roman" w:cs="Times New Roman"/>
          <w:b/>
          <w:bCs/>
          <w:sz w:val="28"/>
          <w:szCs w:val="28"/>
          <w:lang w:val="uk-UA" w:bidi="uk-UA"/>
        </w:rPr>
      </w:pPr>
    </w:p>
    <w:p w14:paraId="61893F3F" w14:textId="1C32F997" w:rsidR="00697ED3" w:rsidRPr="00A6607D" w:rsidRDefault="00977B36" w:rsidP="00E1512D">
      <w:pPr>
        <w:pStyle w:val="a6"/>
        <w:ind w:firstLine="677"/>
        <w:jc w:val="both"/>
        <w:rPr>
          <w:rFonts w:ascii="Times New Roman" w:hAnsi="Times New Roman" w:cs="Times New Roman"/>
          <w:sz w:val="28"/>
          <w:szCs w:val="28"/>
          <w:lang w:val="uk-UA" w:bidi="uk-UA"/>
        </w:rPr>
      </w:pPr>
      <w:r w:rsidRPr="00A6607D">
        <w:rPr>
          <w:rFonts w:ascii="Times New Roman" w:hAnsi="Times New Roman" w:cs="Times New Roman"/>
          <w:b/>
          <w:bCs/>
          <w:sz w:val="28"/>
          <w:szCs w:val="28"/>
          <w:lang w:val="uk-UA" w:bidi="uk-UA"/>
        </w:rPr>
        <w:t>К</w:t>
      </w:r>
      <w:r w:rsidRPr="00A6607D">
        <w:rPr>
          <w:rFonts w:ascii="Times New Roman" w:hAnsi="Times New Roman" w:cs="Times New Roman"/>
          <w:b/>
          <w:bCs/>
          <w:sz w:val="28"/>
          <w:szCs w:val="28"/>
          <w:lang w:bidi="uk-UA"/>
        </w:rPr>
        <w:t xml:space="preserve">атегорія витрат </w:t>
      </w:r>
      <w:r w:rsidR="003E1525">
        <w:rPr>
          <w:rFonts w:ascii="Times New Roman" w:hAnsi="Times New Roman" w:cs="Times New Roman"/>
          <w:b/>
          <w:bCs/>
          <w:sz w:val="28"/>
          <w:szCs w:val="28"/>
          <w:lang w:val="uk-UA" w:bidi="uk-UA"/>
        </w:rPr>
        <w:t>«Прої</w:t>
      </w:r>
      <w:r w:rsidRPr="00A6607D">
        <w:rPr>
          <w:rFonts w:ascii="Times New Roman" w:hAnsi="Times New Roman" w:cs="Times New Roman"/>
          <w:b/>
          <w:bCs/>
          <w:sz w:val="28"/>
          <w:szCs w:val="28"/>
          <w:lang w:val="uk-UA" w:bidi="uk-UA"/>
        </w:rPr>
        <w:t>зд та проживання»</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покриває витрати на проїзд та проживання персоналу, найнятого партнером проекту</w:t>
      </w:r>
      <w:r w:rsidRPr="00A6607D">
        <w:rPr>
          <w:rFonts w:ascii="Times New Roman" w:hAnsi="Times New Roman" w:cs="Times New Roman"/>
          <w:sz w:val="28"/>
          <w:szCs w:val="28"/>
          <w:lang w:val="uk-UA" w:bidi="uk-UA"/>
        </w:rPr>
        <w:t>.</w:t>
      </w:r>
    </w:p>
    <w:p w14:paraId="694C4B8C" w14:textId="77777777" w:rsidR="00977B36" w:rsidRPr="00A6607D" w:rsidRDefault="00977B36"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Відповідно до статті 41 Регламенту (ЄС) № 2021/1059, витрати на проїзд та проживання обмежуються наступними статтями: </w:t>
      </w:r>
    </w:p>
    <w:p w14:paraId="2EFB16C6" w14:textId="0E386209"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w:t>
      </w:r>
      <w:r w:rsidR="00977B36" w:rsidRPr="00A6607D">
        <w:rPr>
          <w:rFonts w:ascii="Times New Roman" w:hAnsi="Times New Roman" w:cs="Times New Roman"/>
          <w:sz w:val="28"/>
          <w:szCs w:val="28"/>
          <w:lang w:val="uk-UA" w:bidi="uk-UA"/>
        </w:rPr>
        <w:t xml:space="preserve"> </w:t>
      </w:r>
      <w:r w:rsidR="00977B36" w:rsidRPr="00A6607D">
        <w:rPr>
          <w:rFonts w:ascii="Times New Roman" w:hAnsi="Times New Roman" w:cs="Times New Roman"/>
          <w:sz w:val="28"/>
          <w:szCs w:val="28"/>
          <w:lang w:bidi="uk-UA"/>
        </w:rPr>
        <w:t>подорожі (наприклад, квитки, туристичне та автомобільне страхування, паливо, пробіг автомобіля, плата за проїзд, плата за паркування)</w:t>
      </w:r>
      <w:r w:rsidR="00977B36" w:rsidRPr="00A6607D">
        <w:rPr>
          <w:rFonts w:ascii="Times New Roman" w:hAnsi="Times New Roman" w:cs="Times New Roman"/>
          <w:sz w:val="28"/>
          <w:szCs w:val="28"/>
          <w:lang w:val="uk-UA" w:bidi="uk-UA"/>
        </w:rPr>
        <w:t>:</w:t>
      </w:r>
    </w:p>
    <w:p w14:paraId="71A56665" w14:textId="4D4FF86E"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2.</w:t>
      </w:r>
      <w:r w:rsidR="00977B36" w:rsidRPr="00A6607D">
        <w:rPr>
          <w:rFonts w:ascii="Times New Roman" w:hAnsi="Times New Roman" w:cs="Times New Roman"/>
          <w:sz w:val="28"/>
          <w:szCs w:val="28"/>
          <w:lang w:val="uk-UA" w:bidi="uk-UA"/>
        </w:rPr>
        <w:t xml:space="preserve"> </w:t>
      </w:r>
      <w:r w:rsidR="00977B36" w:rsidRPr="00A6607D">
        <w:rPr>
          <w:rFonts w:ascii="Times New Roman" w:hAnsi="Times New Roman" w:cs="Times New Roman"/>
          <w:sz w:val="28"/>
          <w:szCs w:val="28"/>
          <w:lang w:bidi="uk-UA"/>
        </w:rPr>
        <w:t>вартість харчування</w:t>
      </w:r>
      <w:r w:rsidR="003E1525">
        <w:rPr>
          <w:rFonts w:ascii="Times New Roman" w:hAnsi="Times New Roman" w:cs="Times New Roman"/>
          <w:sz w:val="28"/>
          <w:szCs w:val="28"/>
          <w:lang w:val="uk-UA" w:bidi="uk-UA"/>
        </w:rPr>
        <w:t>;</w:t>
      </w:r>
    </w:p>
    <w:p w14:paraId="715620EE" w14:textId="17332D8D"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3.</w:t>
      </w:r>
      <w:r w:rsidR="00977B36" w:rsidRPr="00A6607D">
        <w:rPr>
          <w:rFonts w:ascii="Times New Roman" w:hAnsi="Times New Roman" w:cs="Times New Roman"/>
          <w:sz w:val="28"/>
          <w:szCs w:val="28"/>
          <w:lang w:bidi="uk-UA"/>
        </w:rPr>
        <w:t xml:space="preserve"> витрати на проживання</w:t>
      </w:r>
      <w:r w:rsidR="003E1525">
        <w:rPr>
          <w:rFonts w:ascii="Times New Roman" w:hAnsi="Times New Roman" w:cs="Times New Roman"/>
          <w:sz w:val="28"/>
          <w:szCs w:val="28"/>
          <w:lang w:val="uk-UA" w:bidi="uk-UA"/>
        </w:rPr>
        <w:t>;</w:t>
      </w:r>
    </w:p>
    <w:p w14:paraId="103A4E90" w14:textId="4CFBA3F6"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4.</w:t>
      </w:r>
      <w:r w:rsidR="00A62802">
        <w:rPr>
          <w:rFonts w:ascii="Times New Roman" w:hAnsi="Times New Roman" w:cs="Times New Roman"/>
          <w:sz w:val="28"/>
          <w:szCs w:val="28"/>
          <w:lang w:val="uk-UA" w:bidi="uk-UA"/>
        </w:rPr>
        <w:t xml:space="preserve"> </w:t>
      </w:r>
      <w:r w:rsidR="00977B36" w:rsidRPr="00A6607D">
        <w:rPr>
          <w:rFonts w:ascii="Times New Roman" w:hAnsi="Times New Roman" w:cs="Times New Roman"/>
          <w:sz w:val="28"/>
          <w:szCs w:val="28"/>
          <w:lang w:bidi="uk-UA"/>
        </w:rPr>
        <w:t>візові витрати</w:t>
      </w:r>
      <w:r w:rsidR="003E1525">
        <w:rPr>
          <w:rFonts w:ascii="Times New Roman" w:hAnsi="Times New Roman" w:cs="Times New Roman"/>
          <w:sz w:val="28"/>
          <w:szCs w:val="28"/>
          <w:lang w:val="uk-UA" w:bidi="uk-UA"/>
        </w:rPr>
        <w:t>;</w:t>
      </w:r>
    </w:p>
    <w:p w14:paraId="27E4A6C8" w14:textId="6CCDFA7E" w:rsidR="00697ED3"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5.</w:t>
      </w:r>
      <w:r w:rsidR="00977B36" w:rsidRPr="00A6607D">
        <w:rPr>
          <w:rFonts w:ascii="Times New Roman" w:hAnsi="Times New Roman" w:cs="Times New Roman"/>
          <w:sz w:val="28"/>
          <w:szCs w:val="28"/>
          <w:lang w:bidi="uk-UA"/>
        </w:rPr>
        <w:t xml:space="preserve"> добові</w:t>
      </w:r>
      <w:r w:rsidR="003E1525">
        <w:rPr>
          <w:rFonts w:ascii="Times New Roman" w:hAnsi="Times New Roman" w:cs="Times New Roman"/>
          <w:sz w:val="28"/>
          <w:szCs w:val="28"/>
          <w:lang w:val="uk-UA" w:bidi="uk-UA"/>
        </w:rPr>
        <w:t>;</w:t>
      </w:r>
    </w:p>
    <w:p w14:paraId="09DF108A" w14:textId="77777777" w:rsidR="001F2641" w:rsidRPr="00A6607D" w:rsidRDefault="001F2641"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 Interreg Europe розраховуються витрати на проїзд та проживання: </w:t>
      </w:r>
    </w:p>
    <w:p w14:paraId="4D8A355B" w14:textId="6688AB0F" w:rsidR="001F2641" w:rsidRPr="00537E39" w:rsidRDefault="001F2641"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w:t>
      </w:r>
      <w:r w:rsidR="00A009E0"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 у</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вигляді фіксованої ставки в розмірі 15% від витрат на персонал партнера</w:t>
      </w:r>
      <w:r w:rsidR="00537E39">
        <w:rPr>
          <w:rFonts w:ascii="Times New Roman" w:hAnsi="Times New Roman" w:cs="Times New Roman"/>
          <w:sz w:val="28"/>
          <w:szCs w:val="28"/>
          <w:lang w:val="uk-UA" w:bidi="uk-UA"/>
        </w:rPr>
        <w:t>;</w:t>
      </w:r>
    </w:p>
    <w:p w14:paraId="4A2DB8E1" w14:textId="24174062" w:rsidR="001F2641" w:rsidRPr="00123A3B" w:rsidRDefault="001F2641" w:rsidP="00123A3B">
      <w:pPr>
        <w:pStyle w:val="a6"/>
        <w:ind w:firstLine="708"/>
        <w:jc w:val="both"/>
        <w:rPr>
          <w:rFonts w:ascii="Times New Roman" w:hAnsi="Times New Roman" w:cs="Times New Roman"/>
          <w:sz w:val="20"/>
          <w:szCs w:val="20"/>
          <w:lang w:val="uk-UA"/>
        </w:rPr>
      </w:pPr>
      <w:r w:rsidRPr="00A6607D">
        <w:rPr>
          <w:rFonts w:ascii="Times New Roman" w:hAnsi="Times New Roman" w:cs="Times New Roman"/>
          <w:sz w:val="28"/>
          <w:szCs w:val="28"/>
          <w:lang w:val="uk-UA" w:bidi="uk-UA"/>
        </w:rPr>
        <w:t>-</w:t>
      </w:r>
      <w:r w:rsidR="00A009E0"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або на основі реальних витрат, тільки якщо фіксована ставка не є прийнятною для партнера з обґрунтованих причин (наприклад, партнер проекту походить з найвіддаленішого або віддаленого регіону або з однієї з 7 країн-кандидатів на вступ до ЄС). </w:t>
      </w:r>
      <w:r w:rsidRPr="00A6607D">
        <w:rPr>
          <w:rFonts w:ascii="Times New Roman" w:hAnsi="Times New Roman" w:cs="Times New Roman"/>
          <w:sz w:val="28"/>
          <w:szCs w:val="28"/>
          <w:lang w:val="uk-UA" w:bidi="uk-UA"/>
        </w:rPr>
        <w:t>П</w:t>
      </w:r>
      <w:r w:rsidRPr="00A6607D">
        <w:rPr>
          <w:rFonts w:ascii="Times New Roman" w:hAnsi="Times New Roman" w:cs="Times New Roman"/>
          <w:sz w:val="28"/>
          <w:szCs w:val="28"/>
          <w:lang w:bidi="uk-UA"/>
        </w:rPr>
        <w:t>артнер проекту вказ</w:t>
      </w:r>
      <w:r w:rsidRPr="00A6607D">
        <w:rPr>
          <w:rFonts w:ascii="Times New Roman" w:hAnsi="Times New Roman" w:cs="Times New Roman"/>
          <w:sz w:val="28"/>
          <w:szCs w:val="28"/>
          <w:lang w:val="uk-UA" w:bidi="uk-UA"/>
        </w:rPr>
        <w:t>ує</w:t>
      </w:r>
      <w:r w:rsidRPr="00A6607D">
        <w:rPr>
          <w:rFonts w:ascii="Times New Roman" w:hAnsi="Times New Roman" w:cs="Times New Roman"/>
          <w:sz w:val="28"/>
          <w:szCs w:val="28"/>
          <w:lang w:bidi="uk-UA"/>
        </w:rPr>
        <w:t xml:space="preserve"> свій вибір між варіантами 1 і 2 в аплікаційній формі</w:t>
      </w:r>
      <w:r w:rsidR="002B7498">
        <w:rPr>
          <w:rFonts w:ascii="Times New Roman" w:hAnsi="Times New Roman" w:cs="Times New Roman"/>
          <w:sz w:val="28"/>
          <w:szCs w:val="28"/>
          <w:lang w:val="uk-UA" w:bidi="uk-UA"/>
        </w:rPr>
        <w:t>. Виконавчий комітет</w:t>
      </w:r>
      <w:r w:rsidR="00123A3B">
        <w:rPr>
          <w:rFonts w:ascii="Times New Roman" w:hAnsi="Times New Roman" w:cs="Times New Roman"/>
          <w:sz w:val="28"/>
          <w:szCs w:val="28"/>
          <w:lang w:val="uk-UA" w:bidi="uk-UA"/>
        </w:rPr>
        <w:t xml:space="preserve"> Дрогобицької міської ради</w:t>
      </w:r>
      <w:r w:rsidR="002B7498">
        <w:rPr>
          <w:rFonts w:ascii="Times New Roman" w:hAnsi="Times New Roman" w:cs="Times New Roman"/>
          <w:sz w:val="28"/>
          <w:szCs w:val="28"/>
          <w:lang w:val="uk-UA" w:bidi="uk-UA"/>
        </w:rPr>
        <w:t xml:space="preserve">  вказав 2</w:t>
      </w:r>
      <w:r w:rsidRPr="00A6607D">
        <w:rPr>
          <w:rFonts w:ascii="Times New Roman" w:hAnsi="Times New Roman" w:cs="Times New Roman"/>
          <w:sz w:val="28"/>
          <w:szCs w:val="28"/>
          <w:lang w:val="uk-UA" w:bidi="uk-UA"/>
        </w:rPr>
        <w:t xml:space="preserve"> варіант </w:t>
      </w:r>
      <w:r w:rsidRPr="002217E4">
        <w:rPr>
          <w:rFonts w:ascii="Times New Roman" w:hAnsi="Times New Roman" w:cs="Times New Roman"/>
          <w:sz w:val="28"/>
          <w:szCs w:val="28"/>
          <w:lang w:val="uk-UA" w:bidi="uk-UA"/>
        </w:rPr>
        <w:t>в аплікаційній формі</w:t>
      </w:r>
      <w:r w:rsidRPr="00A6607D">
        <w:rPr>
          <w:rFonts w:ascii="Times New Roman" w:hAnsi="Times New Roman" w:cs="Times New Roman"/>
          <w:sz w:val="28"/>
          <w:szCs w:val="28"/>
          <w:lang w:val="uk-UA" w:bidi="uk-UA"/>
        </w:rPr>
        <w:t xml:space="preserve">. </w:t>
      </w:r>
      <w:r w:rsidR="00123A3B" w:rsidRPr="00537E39">
        <w:rPr>
          <w:rFonts w:ascii="Times New Roman" w:hAnsi="Times New Roman" w:cs="Times New Roman"/>
          <w:sz w:val="28"/>
          <w:szCs w:val="28"/>
          <w:lang w:val="uk-UA"/>
        </w:rPr>
        <w:t>Після двосторонніх обговорень між Головним партнером та двома асоційованими Партнерами (</w:t>
      </w:r>
      <w:r w:rsidR="00123A3B" w:rsidRPr="00A6607D">
        <w:rPr>
          <w:rFonts w:ascii="Times New Roman" w:hAnsi="Times New Roman" w:cs="Times New Roman"/>
          <w:sz w:val="28"/>
          <w:szCs w:val="28"/>
        </w:rPr>
        <w:t>DP</w:t>
      </w:r>
      <w:r w:rsidR="00123A3B" w:rsidRPr="00537E39">
        <w:rPr>
          <w:rFonts w:ascii="Times New Roman" w:hAnsi="Times New Roman" w:cs="Times New Roman"/>
          <w:sz w:val="28"/>
          <w:szCs w:val="28"/>
          <w:lang w:val="uk-UA"/>
        </w:rPr>
        <w:t>08</w:t>
      </w:r>
      <w:r w:rsidR="00123A3B" w:rsidRPr="00A6607D">
        <w:rPr>
          <w:rFonts w:ascii="Times New Roman" w:hAnsi="Times New Roman" w:cs="Times New Roman"/>
          <w:sz w:val="28"/>
          <w:szCs w:val="28"/>
          <w:lang w:val="uk-UA"/>
        </w:rPr>
        <w:t xml:space="preserve"> - Виконавчий комітет Дрогобицької міської ради</w:t>
      </w:r>
      <w:r w:rsidR="00123A3B" w:rsidRPr="00537E39">
        <w:rPr>
          <w:rFonts w:ascii="Times New Roman" w:hAnsi="Times New Roman" w:cs="Times New Roman"/>
          <w:sz w:val="28"/>
          <w:szCs w:val="28"/>
          <w:lang w:val="uk-UA"/>
        </w:rPr>
        <w:t xml:space="preserve"> і </w:t>
      </w:r>
      <w:r w:rsidR="00123A3B" w:rsidRPr="00A6607D">
        <w:rPr>
          <w:rFonts w:ascii="Times New Roman" w:hAnsi="Times New Roman" w:cs="Times New Roman"/>
          <w:sz w:val="28"/>
          <w:szCs w:val="28"/>
        </w:rPr>
        <w:t>DP</w:t>
      </w:r>
      <w:r w:rsidR="00123A3B" w:rsidRPr="00537E39">
        <w:rPr>
          <w:rFonts w:ascii="Times New Roman" w:hAnsi="Times New Roman" w:cs="Times New Roman"/>
          <w:sz w:val="28"/>
          <w:szCs w:val="28"/>
          <w:lang w:val="uk-UA"/>
        </w:rPr>
        <w:t>09</w:t>
      </w:r>
      <w:r w:rsidR="00123A3B" w:rsidRPr="00A6607D">
        <w:rPr>
          <w:rFonts w:ascii="Times New Roman" w:hAnsi="Times New Roman" w:cs="Times New Roman"/>
          <w:sz w:val="28"/>
          <w:szCs w:val="28"/>
          <w:lang w:val="uk-UA"/>
        </w:rPr>
        <w:t xml:space="preserve"> – КП «Льві</w:t>
      </w:r>
      <w:r w:rsidR="003E1525">
        <w:rPr>
          <w:rFonts w:ascii="Times New Roman" w:hAnsi="Times New Roman" w:cs="Times New Roman"/>
          <w:sz w:val="28"/>
          <w:szCs w:val="28"/>
          <w:lang w:val="uk-UA"/>
        </w:rPr>
        <w:t>в</w:t>
      </w:r>
      <w:r w:rsidR="00123A3B" w:rsidRPr="00A6607D">
        <w:rPr>
          <w:rFonts w:ascii="Times New Roman" w:hAnsi="Times New Roman" w:cs="Times New Roman"/>
          <w:sz w:val="28"/>
          <w:szCs w:val="28"/>
          <w:lang w:val="uk-UA"/>
        </w:rPr>
        <w:t>світло»</w:t>
      </w:r>
      <w:r w:rsidR="00123A3B" w:rsidRPr="00537E39">
        <w:rPr>
          <w:rFonts w:ascii="Times New Roman" w:hAnsi="Times New Roman" w:cs="Times New Roman"/>
          <w:sz w:val="28"/>
          <w:szCs w:val="28"/>
          <w:lang w:val="uk-UA"/>
        </w:rPr>
        <w:t xml:space="preserve">) було вирішено змінити категорію витрат на подорожі та проживання з фіксованої ставки на базу фактичних витрат. </w:t>
      </w:r>
      <w:r w:rsidR="00123A3B" w:rsidRPr="00A6607D">
        <w:rPr>
          <w:rFonts w:ascii="Times New Roman" w:hAnsi="Times New Roman" w:cs="Times New Roman"/>
          <w:sz w:val="28"/>
          <w:szCs w:val="28"/>
        </w:rPr>
        <w:t xml:space="preserve">Причиною такої зміни стало те, що фіксована ставка у розмірі 15% виявилася недостатньою з огляду на невеликі бюджети асоційованих Партнерів. Це рішення додатково було підтримане рекомендаціями Спільного секретаріату (JS) під час їхніх переговорів із Головним партнером. Крім того, оскільки обидва асоційовані Партнери базуються в Україні, яка є країною-кандидатом на вступ до ЄС, вони мають право на повноцінну участь у програмі Interreg Europe. Перехід на базу фактичних витрат забезпечує можливість обом асоційованим Партнерам активно брати участь і повною мірою долучатися до всіх заходів проєкту, що робить це коригування необхідним для успіху </w:t>
      </w:r>
      <w:proofErr w:type="gramStart"/>
      <w:r w:rsidR="00123A3B" w:rsidRPr="00A6607D">
        <w:rPr>
          <w:rFonts w:ascii="Times New Roman" w:hAnsi="Times New Roman" w:cs="Times New Roman"/>
          <w:sz w:val="28"/>
          <w:szCs w:val="28"/>
        </w:rPr>
        <w:t>проєкту</w:t>
      </w:r>
      <w:r w:rsidR="00123A3B" w:rsidRPr="00A6607D">
        <w:rPr>
          <w:rFonts w:ascii="Times New Roman" w:hAnsi="Times New Roman" w:cs="Times New Roman"/>
          <w:sz w:val="20"/>
          <w:szCs w:val="20"/>
        </w:rPr>
        <w:t>.</w:t>
      </w:r>
      <w:r w:rsidR="00123A3B">
        <w:rPr>
          <w:rFonts w:ascii="Times New Roman" w:hAnsi="Times New Roman" w:cs="Times New Roman"/>
          <w:sz w:val="20"/>
          <w:szCs w:val="20"/>
          <w:lang w:val="uk-UA"/>
        </w:rPr>
        <w:t>.</w:t>
      </w:r>
      <w:proofErr w:type="gramEnd"/>
    </w:p>
    <w:p w14:paraId="3CC5EAD4" w14:textId="65306CD6"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Будь-які витрати, перелічені в пунктах (2) - (5) вище, які вже покриваються добовими, не можуть бути заявлені до програми додатково до добових.</w:t>
      </w:r>
    </w:p>
    <w:p w14:paraId="04400BC5" w14:textId="58F412AB"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проїзд та проживання покриваються партнерською організацією. Прямі платежі працівника повинні бути підтверджені підтвердженням відшкодування від роботодавця.</w:t>
      </w:r>
    </w:p>
    <w:p w14:paraId="06263824" w14:textId="1AFCAE2F" w:rsidR="00123A3B" w:rsidRPr="00A62802" w:rsidRDefault="00672FD3" w:rsidP="00123A3B">
      <w:pPr>
        <w:pStyle w:val="a6"/>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Партнери проє</w:t>
      </w:r>
      <w:r w:rsidR="00123A3B" w:rsidRPr="00A62802">
        <w:rPr>
          <w:rFonts w:ascii="Times New Roman" w:hAnsi="Times New Roman" w:cs="Times New Roman"/>
          <w:color w:val="000000" w:themeColor="text1"/>
          <w:sz w:val="28"/>
          <w:szCs w:val="28"/>
          <w:lang w:val="uk-UA"/>
        </w:rPr>
        <w:t>кту повинні дотримуватися застосування національних та/або внутрішніх правил. Реальні витрати та добові повинні відповідати конкретним національним або внутрішнім правилам, що застосовуються в організації-партнері.</w:t>
      </w:r>
    </w:p>
    <w:p w14:paraId="5531AB84" w14:textId="382896F0"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Зазвичай, витрати на проїзд та проживання повинні стосуватися поїздок, що здійснюються в межах території Програми. Однак поїздки за межі території Програми є прийнятними, якщо вони чітко зазначені та обґрунтовані в аплікаційній формі. Поїздки за межі території Програми, які не вказані в аплікаційній формі, повинні бути схвалені Спільним секретаріатом для того, щоб відповідні витрати були прийнятними.</w:t>
      </w:r>
    </w:p>
    <w:p w14:paraId="33BEF0BF" w14:textId="6FDAE5B1"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проїзд та проживання, пов'язані з особами, які не є співробітниками, безпосередньо найнятими партнерами про</w:t>
      </w:r>
      <w:r w:rsidR="00672FD3">
        <w:rPr>
          <w:rFonts w:ascii="Times New Roman" w:hAnsi="Times New Roman" w:cs="Times New Roman"/>
          <w:color w:val="000000" w:themeColor="text1"/>
          <w:sz w:val="28"/>
          <w:szCs w:val="28"/>
          <w:lang w:val="uk-UA"/>
        </w:rPr>
        <w:t>є</w:t>
      </w:r>
      <w:r w:rsidRPr="00A62802">
        <w:rPr>
          <w:rFonts w:ascii="Times New Roman" w:hAnsi="Times New Roman" w:cs="Times New Roman"/>
          <w:color w:val="000000" w:themeColor="text1"/>
          <w:sz w:val="28"/>
          <w:szCs w:val="28"/>
          <w:lang w:val="uk-UA"/>
        </w:rPr>
        <w:t>кту (членами груп зацікавлених сторін, співробітниками відповідних органів влади, а також консультантами або експертами), повинні бути включені до категорії витрат "зовнішня експертиза та послуги".</w:t>
      </w:r>
    </w:p>
    <w:p w14:paraId="23519706" w14:textId="3E8854A1"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проїзд та проживання персоналу, який працює на партнерів з країн, що не входять до території Програми, мож</w:t>
      </w:r>
      <w:r w:rsidR="00672FD3">
        <w:rPr>
          <w:rFonts w:ascii="Times New Roman" w:hAnsi="Times New Roman" w:cs="Times New Roman"/>
          <w:color w:val="000000" w:themeColor="text1"/>
          <w:sz w:val="28"/>
          <w:szCs w:val="28"/>
          <w:lang w:val="uk-UA"/>
        </w:rPr>
        <w:t>уть бути покриті партнерами проє</w:t>
      </w:r>
      <w:r w:rsidRPr="00A62802">
        <w:rPr>
          <w:rFonts w:ascii="Times New Roman" w:hAnsi="Times New Roman" w:cs="Times New Roman"/>
          <w:color w:val="000000" w:themeColor="text1"/>
          <w:sz w:val="28"/>
          <w:szCs w:val="28"/>
          <w:lang w:val="uk-UA"/>
        </w:rPr>
        <w:t>кту, які фінансуються безпосередньо  Програмою, та включені до категорії витрат "проїзд та проживання" відповідного партнера.</w:t>
      </w:r>
    </w:p>
    <w:p w14:paraId="7B548292" w14:textId="5405FD1E"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компенсацію CO</w:t>
      </w:r>
      <w:r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за проїзні квитки можуть вважатися прийнятними витратами на відрядження, якщо компенсація </w:t>
      </w:r>
      <w:r w:rsidR="00D5435E" w:rsidRPr="00A62802">
        <w:rPr>
          <w:rFonts w:ascii="Times New Roman" w:hAnsi="Times New Roman" w:cs="Times New Roman"/>
          <w:color w:val="000000" w:themeColor="text1"/>
          <w:sz w:val="28"/>
          <w:szCs w:val="28"/>
          <w:lang w:val="uk-UA"/>
        </w:rPr>
        <w:t>CO</w:t>
      </w:r>
      <w:r w:rsidR="00D5435E"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безпосередньо пов'язана з поїздкою на захід </w:t>
      </w:r>
      <w:r w:rsidR="00D5435E">
        <w:rPr>
          <w:rFonts w:ascii="Times New Roman" w:hAnsi="Times New Roman" w:cs="Times New Roman"/>
          <w:color w:val="000000" w:themeColor="text1"/>
          <w:sz w:val="28"/>
          <w:szCs w:val="28"/>
          <w:lang w:val="uk-UA"/>
        </w:rPr>
        <w:t xml:space="preserve">в рамках проекту. Компенсацію </w:t>
      </w:r>
      <w:r w:rsidR="00D5435E" w:rsidRPr="00A62802">
        <w:rPr>
          <w:rFonts w:ascii="Times New Roman" w:hAnsi="Times New Roman" w:cs="Times New Roman"/>
          <w:color w:val="000000" w:themeColor="text1"/>
          <w:sz w:val="28"/>
          <w:szCs w:val="28"/>
          <w:lang w:val="uk-UA"/>
        </w:rPr>
        <w:t>CO</w:t>
      </w:r>
      <w:r w:rsidR="00D5435E"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слід розраховувати за допомогою офіційної та міжнародно визнаної програми комп</w:t>
      </w:r>
      <w:r w:rsidR="009E43E5">
        <w:rPr>
          <w:rFonts w:ascii="Times New Roman" w:hAnsi="Times New Roman" w:cs="Times New Roman"/>
          <w:color w:val="000000" w:themeColor="text1"/>
          <w:sz w:val="28"/>
          <w:szCs w:val="28"/>
          <w:lang w:val="uk-UA"/>
        </w:rPr>
        <w:t xml:space="preserve">енсації </w:t>
      </w:r>
      <w:r w:rsidR="009E43E5" w:rsidRPr="00A62802">
        <w:rPr>
          <w:rFonts w:ascii="Times New Roman" w:hAnsi="Times New Roman" w:cs="Times New Roman"/>
          <w:color w:val="000000" w:themeColor="text1"/>
          <w:sz w:val="28"/>
          <w:szCs w:val="28"/>
          <w:lang w:val="uk-UA"/>
        </w:rPr>
        <w:t>CO</w:t>
      </w:r>
      <w:r w:rsidR="009E43E5"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(наприклад, "Gold Standard").</w:t>
      </w:r>
    </w:p>
    <w:p w14:paraId="74220A4E" w14:textId="712BC935"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Підтверджуючі документи для перевірки витрат</w:t>
      </w:r>
      <w:r w:rsidR="00D5435E">
        <w:rPr>
          <w:rFonts w:ascii="Times New Roman" w:hAnsi="Times New Roman" w:cs="Times New Roman"/>
          <w:color w:val="000000" w:themeColor="text1"/>
          <w:sz w:val="28"/>
          <w:szCs w:val="28"/>
          <w:lang w:val="uk-UA"/>
        </w:rPr>
        <w:t>.</w:t>
      </w:r>
    </w:p>
    <w:p w14:paraId="58F2487F" w14:textId="77777777"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Наступні документи повинні бути доступними для цілей контролю:</w:t>
      </w:r>
    </w:p>
    <w:p w14:paraId="61D41B35" w14:textId="14C7CBAF"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порядок денний (або подібний) зустрічей/семінарів/конференцій;</w:t>
      </w:r>
    </w:p>
    <w:p w14:paraId="2124AFC0" w14:textId="1905417B"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документи, що підтверджують, що поїздка відбулася (посадочні талони або списки учасників тощо);</w:t>
      </w:r>
    </w:p>
    <w:p w14:paraId="4EBACC1E" w14:textId="433A7499"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оплачені рахунки (включаючи рахунки за готель, транспортні квитки тощо) та, за необхідності, звіт про витрати працівника з підтвердженням відшкодування роботодавцем витрат працівнику;</w:t>
      </w:r>
    </w:p>
    <w:p w14:paraId="3497F2C4" w14:textId="3AFE54EE"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xml:space="preserve">• заявки на добові (якщо такі є), включаючи докази відшкодування роботодавцем працівникові. </w:t>
      </w:r>
    </w:p>
    <w:p w14:paraId="4EA5295B" w14:textId="77777777" w:rsidR="002D705F" w:rsidRPr="00A6607D" w:rsidRDefault="002D705F" w:rsidP="00E1512D">
      <w:pPr>
        <w:pStyle w:val="a6"/>
        <w:ind w:firstLine="708"/>
        <w:jc w:val="both"/>
        <w:rPr>
          <w:rFonts w:ascii="Times New Roman" w:hAnsi="Times New Roman" w:cs="Times New Roman"/>
          <w:sz w:val="28"/>
          <w:szCs w:val="28"/>
          <w:lang w:val="uk-UA" w:bidi="uk-UA"/>
        </w:rPr>
      </w:pPr>
    </w:p>
    <w:p w14:paraId="3130796D" w14:textId="5FA0EEF6" w:rsidR="002D705F" w:rsidRPr="002217E4" w:rsidRDefault="002D705F" w:rsidP="00E1512D">
      <w:pPr>
        <w:pStyle w:val="a6"/>
        <w:ind w:firstLine="708"/>
        <w:jc w:val="both"/>
        <w:rPr>
          <w:rFonts w:ascii="Times New Roman" w:hAnsi="Times New Roman" w:cs="Times New Roman"/>
          <w:sz w:val="28"/>
          <w:szCs w:val="28"/>
          <w:lang w:val="uk-UA" w:bidi="uk-UA"/>
        </w:rPr>
      </w:pPr>
      <w:r w:rsidRPr="002217E4">
        <w:rPr>
          <w:rFonts w:ascii="Times New Roman" w:hAnsi="Times New Roman" w:cs="Times New Roman"/>
          <w:b/>
          <w:bCs/>
          <w:sz w:val="28"/>
          <w:szCs w:val="28"/>
          <w:lang w:val="uk-UA" w:bidi="uk-UA"/>
        </w:rPr>
        <w:t>Витрати на зовнішню експертизу та послуги</w:t>
      </w:r>
      <w:r w:rsidRPr="002217E4">
        <w:rPr>
          <w:rFonts w:ascii="Times New Roman" w:hAnsi="Times New Roman" w:cs="Times New Roman"/>
          <w:sz w:val="28"/>
          <w:szCs w:val="28"/>
          <w:lang w:val="uk-UA" w:bidi="uk-UA"/>
        </w:rPr>
        <w:t xml:space="preserve"> включають витрати, </w:t>
      </w:r>
      <w:r w:rsidRPr="00A6607D">
        <w:rPr>
          <w:rFonts w:ascii="Times New Roman" w:hAnsi="Times New Roman" w:cs="Times New Roman"/>
          <w:sz w:val="28"/>
          <w:szCs w:val="28"/>
          <w:lang w:val="uk-UA" w:bidi="uk-UA"/>
        </w:rPr>
        <w:t>о</w:t>
      </w:r>
      <w:r w:rsidRPr="002217E4">
        <w:rPr>
          <w:rFonts w:ascii="Times New Roman" w:hAnsi="Times New Roman" w:cs="Times New Roman"/>
          <w:sz w:val="28"/>
          <w:szCs w:val="28"/>
          <w:lang w:val="uk-UA" w:bidi="uk-UA"/>
        </w:rPr>
        <w:t>плачені на основі контрактів або письмових угод, а також відповідні рахунки-фактури або запити на відшкодування зовнішнім постачальникам послуг, які залучені на умовах субпідряду для виконання певних завдань або діяльності, пов'язаної з реалізацією про</w:t>
      </w:r>
      <w:r w:rsidR="00672FD3">
        <w:rPr>
          <w:rFonts w:ascii="Times New Roman" w:hAnsi="Times New Roman" w:cs="Times New Roman"/>
          <w:sz w:val="28"/>
          <w:szCs w:val="28"/>
          <w:lang w:val="uk-UA" w:bidi="uk-UA"/>
        </w:rPr>
        <w:t>є</w:t>
      </w:r>
      <w:r w:rsidRPr="002217E4">
        <w:rPr>
          <w:rFonts w:ascii="Times New Roman" w:hAnsi="Times New Roman" w:cs="Times New Roman"/>
          <w:sz w:val="28"/>
          <w:szCs w:val="28"/>
          <w:lang w:val="uk-UA" w:bidi="uk-UA"/>
        </w:rPr>
        <w:t xml:space="preserve">кту. </w:t>
      </w:r>
    </w:p>
    <w:p w14:paraId="2BAF1D9F" w14:textId="77777777" w:rsidR="002D705F" w:rsidRPr="00A6607D" w:rsidRDefault="002D705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Відповідно до статті 42 Регламенту (ЄС) № 2021/1059, витрати на зовнішню експертизу та послуги обмежуються наступними послугами та експертизою, що надаються організацією, яка не є партнером проекту: </w:t>
      </w:r>
    </w:p>
    <w:p w14:paraId="78101A20" w14:textId="78F02479"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дослідження</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або</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опитування (наприклад, оцінки, стратегії, концептуальні записки, дизайн-плани, посібники)</w:t>
      </w:r>
      <w:r w:rsidR="00FB3136">
        <w:rPr>
          <w:rFonts w:ascii="Times New Roman" w:hAnsi="Times New Roman" w:cs="Times New Roman"/>
          <w:sz w:val="28"/>
          <w:szCs w:val="28"/>
          <w:lang w:val="uk-UA" w:bidi="uk-UA"/>
        </w:rPr>
        <w:t>;</w:t>
      </w:r>
    </w:p>
    <w:p w14:paraId="1CC734C3" w14:textId="300FEEBF"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lastRenderedPageBreak/>
        <w:t>навчання</w:t>
      </w:r>
      <w:r w:rsidR="00FB3136">
        <w:rPr>
          <w:rFonts w:ascii="Times New Roman" w:hAnsi="Times New Roman" w:cs="Times New Roman"/>
          <w:sz w:val="28"/>
          <w:szCs w:val="28"/>
          <w:lang w:val="uk-UA" w:bidi="uk-UA"/>
        </w:rPr>
        <w:t>;</w:t>
      </w:r>
    </w:p>
    <w:p w14:paraId="213FEF7D" w14:textId="33376B87"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переклади</w:t>
      </w:r>
      <w:r w:rsidR="00FB3136">
        <w:rPr>
          <w:rFonts w:ascii="Times New Roman" w:hAnsi="Times New Roman" w:cs="Times New Roman"/>
          <w:sz w:val="28"/>
          <w:szCs w:val="28"/>
          <w:lang w:val="uk-UA" w:bidi="uk-UA"/>
        </w:rPr>
        <w:t>;</w:t>
      </w:r>
    </w:p>
    <w:p w14:paraId="2CD34F4D" w14:textId="51D2D79F" w:rsidR="002D705F" w:rsidRPr="00A6607D" w:rsidRDefault="002D705F" w:rsidP="00E1512D">
      <w:pPr>
        <w:pStyle w:val="a6"/>
        <w:numPr>
          <w:ilvl w:val="0"/>
          <w:numId w:val="5"/>
        </w:numPr>
        <w:jc w:val="both"/>
        <w:rPr>
          <w:rFonts w:ascii="Times New Roman" w:hAnsi="Times New Roman" w:cs="Times New Roman"/>
          <w:sz w:val="28"/>
          <w:szCs w:val="28"/>
          <w:lang w:bidi="uk-UA"/>
        </w:rPr>
      </w:pPr>
      <w:proofErr w:type="gramStart"/>
      <w:r w:rsidRPr="00A6607D">
        <w:rPr>
          <w:rFonts w:ascii="Times New Roman" w:hAnsi="Times New Roman" w:cs="Times New Roman"/>
          <w:sz w:val="28"/>
          <w:szCs w:val="28"/>
          <w:lang w:bidi="uk-UA"/>
        </w:rPr>
        <w:t>розробка,модифікація</w:t>
      </w:r>
      <w:proofErr w:type="gramEnd"/>
      <w:r w:rsidRPr="00A6607D">
        <w:rPr>
          <w:rFonts w:ascii="Times New Roman" w:hAnsi="Times New Roman" w:cs="Times New Roman"/>
          <w:sz w:val="28"/>
          <w:szCs w:val="28"/>
          <w:lang w:bidi="uk-UA"/>
        </w:rPr>
        <w:t xml:space="preserve"> та оновлення ІТ-систем та веб-сайту</w:t>
      </w:r>
      <w:r w:rsidR="00FB3136">
        <w:rPr>
          <w:rFonts w:ascii="Times New Roman" w:hAnsi="Times New Roman" w:cs="Times New Roman"/>
          <w:sz w:val="28"/>
          <w:szCs w:val="28"/>
          <w:lang w:val="uk-UA" w:bidi="uk-UA"/>
        </w:rPr>
        <w:t>;</w:t>
      </w:r>
    </w:p>
    <w:p w14:paraId="4195FBFD" w14:textId="3AFCFB83" w:rsidR="002D705F" w:rsidRPr="00A6607D" w:rsidRDefault="002D705F" w:rsidP="00E1512D">
      <w:pPr>
        <w:pStyle w:val="a6"/>
        <w:numPr>
          <w:ilvl w:val="0"/>
          <w:numId w:val="5"/>
        </w:numPr>
        <w:jc w:val="both"/>
        <w:rPr>
          <w:rFonts w:ascii="Times New Roman" w:hAnsi="Times New Roman" w:cs="Times New Roman"/>
          <w:sz w:val="28"/>
          <w:szCs w:val="28"/>
          <w:lang w:bidi="uk-UA"/>
        </w:rPr>
      </w:pPr>
      <w:proofErr w:type="gramStart"/>
      <w:r w:rsidRPr="00A6607D">
        <w:rPr>
          <w:rFonts w:ascii="Times New Roman" w:hAnsi="Times New Roman" w:cs="Times New Roman"/>
          <w:sz w:val="28"/>
          <w:szCs w:val="28"/>
          <w:lang w:bidi="uk-UA"/>
        </w:rPr>
        <w:t>просування,комунікація</w:t>
      </w:r>
      <w:proofErr w:type="gramEnd"/>
      <w:r w:rsidRPr="00A6607D">
        <w:rPr>
          <w:rFonts w:ascii="Times New Roman" w:hAnsi="Times New Roman" w:cs="Times New Roman"/>
          <w:sz w:val="28"/>
          <w:szCs w:val="28"/>
          <w:lang w:bidi="uk-UA"/>
        </w:rPr>
        <w:t>, реклама, рекламні товари та заходи або інформація, пов'язана з проектом або програмою як такою</w:t>
      </w:r>
      <w:r w:rsidR="00FB3136">
        <w:rPr>
          <w:rFonts w:ascii="Times New Roman" w:hAnsi="Times New Roman" w:cs="Times New Roman"/>
          <w:sz w:val="28"/>
          <w:szCs w:val="28"/>
          <w:lang w:val="uk-UA" w:bidi="uk-UA"/>
        </w:rPr>
        <w:t>;</w:t>
      </w:r>
    </w:p>
    <w:p w14:paraId="31F0E989" w14:textId="22D152FF"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фінансовий</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менеджмент</w:t>
      </w:r>
      <w:r w:rsidR="00FB3136">
        <w:rPr>
          <w:rFonts w:ascii="Times New Roman" w:hAnsi="Times New Roman" w:cs="Times New Roman"/>
          <w:sz w:val="28"/>
          <w:szCs w:val="28"/>
          <w:lang w:val="uk-UA" w:bidi="uk-UA"/>
        </w:rPr>
        <w:t>;</w:t>
      </w:r>
    </w:p>
    <w:p w14:paraId="023BF155" w14:textId="1DAD5A7B" w:rsidR="00697ED3" w:rsidRPr="00A6607D" w:rsidRDefault="002D705F" w:rsidP="00E1512D">
      <w:pPr>
        <w:pStyle w:val="a6"/>
        <w:numPr>
          <w:ilvl w:val="0"/>
          <w:numId w:val="5"/>
        </w:numPr>
        <w:jc w:val="both"/>
        <w:rPr>
          <w:rFonts w:ascii="Times New Roman" w:hAnsi="Times New Roman" w:cs="Times New Roman"/>
          <w:sz w:val="28"/>
          <w:szCs w:val="28"/>
          <w:lang w:bidi="uk-UA"/>
        </w:rPr>
      </w:pPr>
      <w:proofErr w:type="gramStart"/>
      <w:r w:rsidRPr="00A6607D">
        <w:rPr>
          <w:rFonts w:ascii="Times New Roman" w:hAnsi="Times New Roman" w:cs="Times New Roman"/>
          <w:sz w:val="28"/>
          <w:szCs w:val="28"/>
          <w:lang w:bidi="uk-UA"/>
        </w:rPr>
        <w:t>послуги,пов'язані</w:t>
      </w:r>
      <w:proofErr w:type="gramEnd"/>
      <w:r w:rsidRPr="00A6607D">
        <w:rPr>
          <w:rFonts w:ascii="Times New Roman" w:hAnsi="Times New Roman" w:cs="Times New Roman"/>
          <w:sz w:val="28"/>
          <w:szCs w:val="28"/>
          <w:lang w:bidi="uk-UA"/>
        </w:rPr>
        <w:t xml:space="preserve"> з організацією та проведенням заходів або зустрічей (включаючи оренду, кейтеринг або усний переклад</w:t>
      </w:r>
      <w:r w:rsidR="00FB3136">
        <w:rPr>
          <w:rFonts w:ascii="Times New Roman" w:hAnsi="Times New Roman" w:cs="Times New Roman"/>
          <w:sz w:val="28"/>
          <w:szCs w:val="28"/>
          <w:lang w:val="uk-UA" w:bidi="uk-UA"/>
        </w:rPr>
        <w:t>;</w:t>
      </w:r>
    </w:p>
    <w:p w14:paraId="50A60512" w14:textId="668888F8"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участь</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у</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заходах</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(наприклад, реєстраційні внески</w:t>
      </w:r>
      <w:r w:rsidR="00FB3136">
        <w:rPr>
          <w:rFonts w:ascii="Times New Roman" w:hAnsi="Times New Roman" w:cs="Times New Roman"/>
          <w:sz w:val="28"/>
          <w:szCs w:val="28"/>
          <w:lang w:val="uk-UA" w:bidi="uk-UA"/>
        </w:rPr>
        <w:t>);</w:t>
      </w:r>
    </w:p>
    <w:p w14:paraId="0C1D706A" w14:textId="042A8E3B"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юридичніконсультації та нотаріальні послуги, технічна та фінансова експертиза, інші консультаційні та бухгалтерські послуги</w:t>
      </w:r>
      <w:r w:rsidR="00FB3136">
        <w:rPr>
          <w:rFonts w:ascii="Times New Roman" w:hAnsi="Times New Roman" w:cs="Times New Roman"/>
          <w:sz w:val="28"/>
          <w:szCs w:val="28"/>
          <w:lang w:val="uk-UA" w:bidi="uk-UA"/>
        </w:rPr>
        <w:t>;</w:t>
      </w:r>
    </w:p>
    <w:p w14:paraId="606E5A10" w14:textId="32FA83DD"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права</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інтелектуальної власності</w:t>
      </w:r>
      <w:r w:rsidR="00FB3136">
        <w:rPr>
          <w:rFonts w:ascii="Times New Roman" w:hAnsi="Times New Roman" w:cs="Times New Roman"/>
          <w:sz w:val="28"/>
          <w:szCs w:val="28"/>
          <w:lang w:val="uk-UA" w:bidi="uk-UA"/>
        </w:rPr>
        <w:t>;</w:t>
      </w:r>
    </w:p>
    <w:p w14:paraId="04820390" w14:textId="484B0A78"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перевірки</w:t>
      </w:r>
      <w:r w:rsidR="00322CCF" w:rsidRPr="00A6607D">
        <w:rPr>
          <w:rFonts w:ascii="Times New Roman" w:hAnsi="Times New Roman" w:cs="Times New Roman"/>
          <w:sz w:val="28"/>
          <w:szCs w:val="28"/>
          <w:lang w:val="uk-UA" w:bidi="uk-UA"/>
        </w:rPr>
        <w:t xml:space="preserve"> в</w:t>
      </w:r>
      <w:r w:rsidRPr="00A6607D">
        <w:rPr>
          <w:rFonts w:ascii="Times New Roman" w:hAnsi="Times New Roman" w:cs="Times New Roman"/>
          <w:sz w:val="28"/>
          <w:szCs w:val="28"/>
          <w:lang w:bidi="uk-UA"/>
        </w:rPr>
        <w:t>ідповідно до пункту (а) статті 74(1) Регламенту (ЄС) 2021/1060 та статті 46(1) Регламенту (ЄС) № 2021/1059 (тобто витрати на контроль витрат)</w:t>
      </w:r>
      <w:r w:rsidR="00FB3136">
        <w:rPr>
          <w:rFonts w:ascii="Times New Roman" w:hAnsi="Times New Roman" w:cs="Times New Roman"/>
          <w:sz w:val="28"/>
          <w:szCs w:val="28"/>
          <w:lang w:val="uk-UA" w:bidi="uk-UA"/>
        </w:rPr>
        <w:t>;</w:t>
      </w:r>
    </w:p>
    <w:p w14:paraId="0ACF666F" w14:textId="292D2422"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надання</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гарантій банком або іншою</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фінансовою установою, якщо цього вимагає законодавство Європейського Союзу або національне законодавство, або програмний документ, прийнятий Моніторинговим комітетом</w:t>
      </w:r>
      <w:r w:rsidR="00FB3136">
        <w:rPr>
          <w:rFonts w:ascii="Times New Roman" w:hAnsi="Times New Roman" w:cs="Times New Roman"/>
          <w:sz w:val="28"/>
          <w:szCs w:val="28"/>
          <w:lang w:val="uk-UA" w:bidi="uk-UA"/>
        </w:rPr>
        <w:t>;</w:t>
      </w:r>
    </w:p>
    <w:p w14:paraId="51996FDD" w14:textId="1E56B0CE"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проїзд</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та</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проживання</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зовнішніх експертів, доповідачів, голів засідань та постачальників послуг</w:t>
      </w:r>
      <w:r w:rsidR="00FB3136">
        <w:rPr>
          <w:rFonts w:ascii="Times New Roman" w:hAnsi="Times New Roman" w:cs="Times New Roman"/>
          <w:sz w:val="28"/>
          <w:szCs w:val="28"/>
          <w:lang w:val="uk-UA" w:bidi="uk-UA"/>
        </w:rPr>
        <w:t>;</w:t>
      </w:r>
    </w:p>
    <w:p w14:paraId="06654C54" w14:textId="77777777"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інші</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специфічні знання та послуги, необхідні для проектів. </w:t>
      </w:r>
    </w:p>
    <w:p w14:paraId="772DDA39" w14:textId="77777777" w:rsidR="00322CCF" w:rsidRPr="00A6607D" w:rsidRDefault="002D705F" w:rsidP="00E1512D">
      <w:pPr>
        <w:pStyle w:val="a6"/>
        <w:ind w:firstLine="709"/>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Необхідно дотримуватися чинних правил ЄС, національних та внутрішніх правил державних закупівель. Навіть якщо вартість контрактів із зовнішніми постачальниками є нижчою за порогові значення ЄС, вони повинні відповідати принципам прозорості, недискримінації, рівного ставлення та ефективної конкуренції.</w:t>
      </w:r>
    </w:p>
    <w:p w14:paraId="3519C740" w14:textId="77777777"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 на проїзд та проживання членів груп зацікавлених сторін та співробітників відповідних органів влади повинні бути передбачені в бюджеті та відображені у звіті як витрати на зовнішню експертизу. Партнери проекту не можуть укладати контракти між собою в рамках одного проекту. Якщо партнер проекту не може виконати певне завдання, воно може бути передоручено іншому партнеру або передано зовнішньому постачальнику послуг.</w:t>
      </w:r>
    </w:p>
    <w:p w14:paraId="38FDB68C" w14:textId="77777777"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Витрати, понесені власними або афілійованими компаніями (іншими юридичними особами, ніж організація-партнер), можуть бути віднесені до категорії витрат "зовнішня експертиза та послуги" на основі реальних витрат за умови, що між організацією-партнером та власною компанією існує реальний грошовий потік. </w:t>
      </w:r>
    </w:p>
    <w:p w14:paraId="7850D998" w14:textId="77777777" w:rsidR="001F2641"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Авансові платежі можуть бути прийняті лише за умови, що вони підтверджуються рахунком-фактурою або іншим документом, що має доказову силу, і якщо вони відповідають стандартній комерційній практиці, що застосовується в організації-партнері. Відповідна діяльність повинна бути здійснена (і перевірена контролером) до дати завершення проекту.</w:t>
      </w:r>
    </w:p>
    <w:p w14:paraId="50B89A06" w14:textId="310B77BB"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 на послуги, з якими партнери про</w:t>
      </w:r>
      <w:r w:rsidR="00A62802">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 xml:space="preserve">кту укладають контракти на організацію подорожей та проживання власних співробітників (туристичні </w:t>
      </w:r>
      <w:r w:rsidRPr="00A6607D">
        <w:rPr>
          <w:rFonts w:ascii="Times New Roman" w:hAnsi="Times New Roman" w:cs="Times New Roman"/>
          <w:sz w:val="28"/>
          <w:szCs w:val="28"/>
          <w:lang w:bidi="uk-UA"/>
        </w:rPr>
        <w:lastRenderedPageBreak/>
        <w:t xml:space="preserve">агенції тощо), повинні бути заявлені в категорії "витрати на подорожі та проживання". Витрати на зовнішню експертизу та послуги не повинні перевищувати 50% від загального бюджету проекту, маючи на увазі, що фактичними партнерами проекту повинні бути ті, хто отримує вигоду від його діяльності. </w:t>
      </w:r>
    </w:p>
    <w:p w14:paraId="54F9B11E" w14:textId="77777777"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Д</w:t>
      </w:r>
      <w:r w:rsidRPr="00A6607D">
        <w:rPr>
          <w:rFonts w:ascii="Times New Roman" w:hAnsi="Times New Roman" w:cs="Times New Roman"/>
          <w:sz w:val="28"/>
          <w:szCs w:val="28"/>
          <w:lang w:bidi="uk-UA"/>
        </w:rPr>
        <w:t xml:space="preserve">ля цілей контролю повинні бути доступними </w:t>
      </w:r>
      <w:r w:rsidRPr="00A6607D">
        <w:rPr>
          <w:rFonts w:ascii="Times New Roman" w:hAnsi="Times New Roman" w:cs="Times New Roman"/>
          <w:sz w:val="28"/>
          <w:szCs w:val="28"/>
          <w:lang w:val="uk-UA" w:bidi="uk-UA"/>
        </w:rPr>
        <w:t>н</w:t>
      </w:r>
      <w:r w:rsidRPr="00A6607D">
        <w:rPr>
          <w:rFonts w:ascii="Times New Roman" w:hAnsi="Times New Roman" w:cs="Times New Roman"/>
          <w:sz w:val="28"/>
          <w:szCs w:val="28"/>
          <w:lang w:bidi="uk-UA"/>
        </w:rPr>
        <w:t>аступні документи</w:t>
      </w:r>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p>
    <w:p w14:paraId="0A0CBD0B" w14:textId="3D54B738" w:rsidR="00322CCF" w:rsidRPr="00A6607D" w:rsidRDefault="00322CC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д</w:t>
      </w:r>
      <w:r w:rsidRPr="00A6607D">
        <w:rPr>
          <w:rFonts w:ascii="Times New Roman" w:hAnsi="Times New Roman" w:cs="Times New Roman"/>
          <w:sz w:val="28"/>
          <w:szCs w:val="28"/>
          <w:lang w:bidi="uk-UA"/>
        </w:rPr>
        <w:t>окази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процесу</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відбору відповідно до правил ЄС, що застосовуються, національних та внутрішніх правил закупівель. Будь-які зміни до контракту повинні відповідати чинним правилам закупівель і бути з</w:t>
      </w:r>
      <w:r w:rsidR="00F24247">
        <w:rPr>
          <w:rFonts w:ascii="Times New Roman" w:hAnsi="Times New Roman" w:cs="Times New Roman"/>
          <w:sz w:val="28"/>
          <w:szCs w:val="28"/>
          <w:lang w:bidi="uk-UA"/>
        </w:rPr>
        <w:t>адокументовані</w:t>
      </w:r>
      <w:r w:rsidR="00F24247">
        <w:rPr>
          <w:rFonts w:ascii="Times New Roman" w:hAnsi="Times New Roman" w:cs="Times New Roman"/>
          <w:sz w:val="28"/>
          <w:szCs w:val="28"/>
          <w:lang w:val="uk-UA" w:bidi="uk-UA"/>
        </w:rPr>
        <w:t>;</w:t>
      </w:r>
    </w:p>
    <w:p w14:paraId="25BD0D1D" w14:textId="545914D9" w:rsidR="000E658B"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к</w:t>
      </w:r>
      <w:r w:rsidR="00322CCF" w:rsidRPr="00A6607D">
        <w:rPr>
          <w:rFonts w:ascii="Times New Roman" w:hAnsi="Times New Roman" w:cs="Times New Roman"/>
          <w:sz w:val="28"/>
          <w:szCs w:val="28"/>
          <w:lang w:bidi="uk-UA"/>
        </w:rPr>
        <w:t>онтракт</w:t>
      </w:r>
      <w:r w:rsidRPr="00A6607D">
        <w:rPr>
          <w:rFonts w:ascii="Times New Roman" w:hAnsi="Times New Roman" w:cs="Times New Roman"/>
          <w:sz w:val="28"/>
          <w:szCs w:val="28"/>
          <w:lang w:val="uk-UA" w:bidi="uk-UA"/>
        </w:rPr>
        <w:t xml:space="preserve"> </w:t>
      </w:r>
      <w:r w:rsidR="00322CCF" w:rsidRPr="00A6607D">
        <w:rPr>
          <w:rFonts w:ascii="Times New Roman" w:hAnsi="Times New Roman" w:cs="Times New Roman"/>
          <w:sz w:val="28"/>
          <w:szCs w:val="28"/>
          <w:lang w:bidi="uk-UA"/>
        </w:rPr>
        <w:t>або</w:t>
      </w:r>
      <w:r w:rsidR="00F24247">
        <w:rPr>
          <w:rFonts w:ascii="Times New Roman" w:hAnsi="Times New Roman" w:cs="Times New Roman"/>
          <w:sz w:val="28"/>
          <w:szCs w:val="28"/>
          <w:lang w:val="uk-UA" w:bidi="uk-UA"/>
        </w:rPr>
        <w:t xml:space="preserve"> </w:t>
      </w:r>
      <w:r w:rsidR="00322CCF" w:rsidRPr="00A6607D">
        <w:rPr>
          <w:rFonts w:ascii="Times New Roman" w:hAnsi="Times New Roman" w:cs="Times New Roman"/>
          <w:sz w:val="28"/>
          <w:szCs w:val="28"/>
          <w:lang w:bidi="uk-UA"/>
        </w:rPr>
        <w:t>інші письмові угоди з еквівалентною доказовою силою, що визначають послуги, які будуть надані, з чітким зв'язком з проектом</w:t>
      </w:r>
      <w:r w:rsidR="00F24247">
        <w:rPr>
          <w:rFonts w:ascii="Times New Roman" w:hAnsi="Times New Roman" w:cs="Times New Roman"/>
          <w:sz w:val="28"/>
          <w:szCs w:val="28"/>
          <w:lang w:val="uk-UA" w:bidi="uk-UA"/>
        </w:rPr>
        <w:t>;</w:t>
      </w:r>
    </w:p>
    <w:p w14:paraId="60ACDB43" w14:textId="2391CC65" w:rsidR="000E658B"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р</w:t>
      </w:r>
      <w:r w:rsidR="00322CCF" w:rsidRPr="00A6607D">
        <w:rPr>
          <w:rFonts w:ascii="Times New Roman" w:hAnsi="Times New Roman" w:cs="Times New Roman"/>
          <w:sz w:val="28"/>
          <w:szCs w:val="28"/>
          <w:lang w:bidi="uk-UA"/>
        </w:rPr>
        <w:t>ахунок-фактура або запит на відшкодування з усією необхідною інформацією відповідно до чинних правил бухгалтерського обліку</w:t>
      </w:r>
      <w:r w:rsidR="00F24247">
        <w:rPr>
          <w:rFonts w:ascii="Times New Roman" w:hAnsi="Times New Roman" w:cs="Times New Roman"/>
          <w:sz w:val="28"/>
          <w:szCs w:val="28"/>
          <w:lang w:val="uk-UA" w:bidi="uk-UA"/>
        </w:rPr>
        <w:t>;</w:t>
      </w:r>
    </w:p>
    <w:p w14:paraId="62648F5A" w14:textId="5EA103E8" w:rsidR="000E658B"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п</w:t>
      </w:r>
      <w:r w:rsidR="00322CCF" w:rsidRPr="00A6607D">
        <w:rPr>
          <w:rFonts w:ascii="Times New Roman" w:hAnsi="Times New Roman" w:cs="Times New Roman"/>
          <w:sz w:val="28"/>
          <w:szCs w:val="28"/>
          <w:lang w:bidi="uk-UA"/>
        </w:rPr>
        <w:t>ідтвердження оплати</w:t>
      </w:r>
      <w:r w:rsidR="00F24247">
        <w:rPr>
          <w:rFonts w:ascii="Times New Roman" w:hAnsi="Times New Roman" w:cs="Times New Roman"/>
          <w:sz w:val="28"/>
          <w:szCs w:val="28"/>
          <w:lang w:val="uk-UA" w:bidi="uk-UA"/>
        </w:rPr>
        <w:t>;</w:t>
      </w:r>
    </w:p>
    <w:p w14:paraId="46DC4CC2" w14:textId="78FACF52" w:rsidR="00322CCF"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р</w:t>
      </w:r>
      <w:r w:rsidR="00322CCF" w:rsidRPr="00A6607D">
        <w:rPr>
          <w:rFonts w:ascii="Times New Roman" w:hAnsi="Times New Roman" w:cs="Times New Roman"/>
          <w:sz w:val="28"/>
          <w:szCs w:val="28"/>
          <w:lang w:bidi="uk-UA"/>
        </w:rPr>
        <w:t>езультати роботи зовнішніх експертів</w:t>
      </w:r>
      <w:r w:rsidR="00F24247">
        <w:rPr>
          <w:rFonts w:ascii="Times New Roman" w:hAnsi="Times New Roman" w:cs="Times New Roman"/>
          <w:sz w:val="28"/>
          <w:szCs w:val="28"/>
          <w:lang w:val="uk-UA" w:bidi="uk-UA"/>
        </w:rPr>
        <w:t>.</w:t>
      </w:r>
    </w:p>
    <w:p w14:paraId="0C7978E2" w14:textId="77777777" w:rsidR="00237453" w:rsidRPr="00A6607D" w:rsidRDefault="00237453" w:rsidP="00E1512D">
      <w:pPr>
        <w:pStyle w:val="a6"/>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Відповідно до Регламенту (ЄС) № 2021/1059, стаття 38 (3) та Регламенту (ЄС) №2021/1060, стаття 64 (1) наступні витрати не підлягають </w:t>
      </w:r>
      <w:proofErr w:type="gramStart"/>
      <w:r w:rsidRPr="00A6607D">
        <w:rPr>
          <w:rFonts w:ascii="Times New Roman" w:hAnsi="Times New Roman" w:cs="Times New Roman"/>
          <w:sz w:val="28"/>
          <w:szCs w:val="28"/>
          <w:lang w:bidi="uk-UA"/>
        </w:rPr>
        <w:t>відшкодуванню</w:t>
      </w:r>
      <w:r w:rsidRPr="00A6607D">
        <w:rPr>
          <w:rFonts w:ascii="Times New Roman" w:hAnsi="Times New Roman" w:cs="Times New Roman"/>
          <w:sz w:val="28"/>
          <w:szCs w:val="28"/>
          <w:lang w:val="uk-UA" w:bidi="uk-UA"/>
        </w:rPr>
        <w:t xml:space="preserve">  (</w:t>
      </w:r>
      <w:proofErr w:type="gramEnd"/>
      <w:r w:rsidRPr="00A6607D">
        <w:rPr>
          <w:rFonts w:ascii="Times New Roman" w:hAnsi="Times New Roman" w:cs="Times New Roman"/>
          <w:sz w:val="28"/>
          <w:szCs w:val="28"/>
          <w:lang w:val="uk-UA" w:bidi="uk-UA"/>
        </w:rPr>
        <w:t>н</w:t>
      </w:r>
      <w:r w:rsidRPr="00A6607D">
        <w:rPr>
          <w:rFonts w:ascii="Times New Roman" w:hAnsi="Times New Roman" w:cs="Times New Roman"/>
          <w:sz w:val="28"/>
          <w:szCs w:val="28"/>
          <w:lang w:bidi="uk-UA"/>
        </w:rPr>
        <w:t>еприйнятні витрати</w:t>
      </w:r>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p>
    <w:p w14:paraId="2B1F37BE" w14:textId="337FE138"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Подарунки</w:t>
      </w:r>
      <w:r w:rsidR="00F24247">
        <w:rPr>
          <w:rFonts w:ascii="Times New Roman" w:hAnsi="Times New Roman" w:cs="Times New Roman"/>
          <w:sz w:val="28"/>
          <w:szCs w:val="28"/>
          <w:lang w:val="uk-UA" w:bidi="uk-UA"/>
        </w:rPr>
        <w:t>;</w:t>
      </w:r>
    </w:p>
    <w:p w14:paraId="67AA2BFE" w14:textId="4DC98B2C"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Штрафи</w:t>
      </w:r>
      <w:r w:rsidR="00F24247">
        <w:rPr>
          <w:rFonts w:ascii="Times New Roman" w:hAnsi="Times New Roman" w:cs="Times New Roman"/>
          <w:sz w:val="28"/>
          <w:szCs w:val="28"/>
          <w:lang w:val="uk-UA" w:bidi="uk-UA"/>
        </w:rPr>
        <w:t>;</w:t>
      </w:r>
    </w:p>
    <w:p w14:paraId="0666A36B" w14:textId="6866BA3E"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Фінансові</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санкції</w:t>
      </w:r>
      <w:r w:rsidR="00F24247">
        <w:rPr>
          <w:rFonts w:ascii="Times New Roman" w:hAnsi="Times New Roman" w:cs="Times New Roman"/>
          <w:sz w:val="28"/>
          <w:szCs w:val="28"/>
          <w:lang w:val="uk-UA" w:bidi="uk-UA"/>
        </w:rPr>
        <w:t>;</w:t>
      </w:r>
    </w:p>
    <w:p w14:paraId="2A97E1D1" w14:textId="56DE8140"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на</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юридичні</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спори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та</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судові процеси</w:t>
      </w:r>
      <w:r w:rsidR="00F24247">
        <w:rPr>
          <w:rFonts w:ascii="Times New Roman" w:hAnsi="Times New Roman" w:cs="Times New Roman"/>
          <w:sz w:val="28"/>
          <w:szCs w:val="28"/>
          <w:lang w:val="uk-UA" w:bidi="uk-UA"/>
        </w:rPr>
        <w:t>;</w:t>
      </w:r>
    </w:p>
    <w:p w14:paraId="1FBECD45" w14:textId="01C224F4"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пов'язані з коливаннями валютних курсів</w:t>
      </w:r>
      <w:r w:rsidR="00F24247">
        <w:rPr>
          <w:rFonts w:ascii="Times New Roman" w:hAnsi="Times New Roman" w:cs="Times New Roman"/>
          <w:sz w:val="28"/>
          <w:szCs w:val="28"/>
          <w:lang w:val="uk-UA" w:bidi="uk-UA"/>
        </w:rPr>
        <w:t>;</w:t>
      </w:r>
    </w:p>
    <w:p w14:paraId="75D58856" w14:textId="77777777"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Відсотки</w:t>
      </w:r>
      <w:r w:rsidRPr="00A6607D">
        <w:rPr>
          <w:rFonts w:ascii="Times New Roman" w:hAnsi="Times New Roman" w:cs="Times New Roman"/>
          <w:sz w:val="28"/>
          <w:szCs w:val="28"/>
          <w:lang w:val="uk-UA" w:bidi="uk-UA"/>
        </w:rPr>
        <w:t xml:space="preserve"> за борг.</w:t>
      </w:r>
    </w:p>
    <w:p w14:paraId="1BDC34E5" w14:textId="77777777" w:rsidR="00237453" w:rsidRPr="00A6607D" w:rsidRDefault="00237453" w:rsidP="00E1512D">
      <w:pPr>
        <w:pStyle w:val="a6"/>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 xml:space="preserve"> Interreg Europe не допускає внески в натуральній формі, тобто надання робіт, товарів, послуг, землі або нерухомості, за які не було здійснено грошової оплати (наприклад, неоплачувана волонтерська робота). Тому вони є неприйнятними. Витрати на персонал, який працює в одній з установ-партнерів за трудовим договором і отримує регулярну заробітну плату, вважаються не внеском у негрошовій формі, а внеском у грошовій формі, оскільки витрати на персонал фактично оплачуються установою-партнером</w:t>
      </w:r>
      <w:r w:rsidRPr="00A6607D">
        <w:rPr>
          <w:rFonts w:ascii="Times New Roman" w:hAnsi="Times New Roman" w:cs="Times New Roman"/>
          <w:sz w:val="28"/>
          <w:szCs w:val="28"/>
          <w:lang w:val="uk-UA" w:bidi="uk-UA"/>
        </w:rPr>
        <w:t>.</w:t>
      </w:r>
    </w:p>
    <w:p w14:paraId="69E5ED29" w14:textId="093807EF" w:rsidR="00237453" w:rsidRPr="00A62802" w:rsidRDefault="00237453" w:rsidP="00E1512D">
      <w:pPr>
        <w:pStyle w:val="a6"/>
        <w:ind w:firstLine="708"/>
        <w:jc w:val="both"/>
        <w:rPr>
          <w:rFonts w:ascii="Times New Roman" w:hAnsi="Times New Roman" w:cs="Times New Roman"/>
          <w:sz w:val="28"/>
          <w:szCs w:val="28"/>
          <w:lang w:val="uk-UA" w:bidi="uk-UA"/>
        </w:rPr>
      </w:pPr>
      <w:r w:rsidRPr="002217E4">
        <w:rPr>
          <w:rFonts w:ascii="Times New Roman" w:hAnsi="Times New Roman" w:cs="Times New Roman"/>
          <w:sz w:val="28"/>
          <w:szCs w:val="28"/>
          <w:lang w:val="uk-UA" w:bidi="uk-UA"/>
        </w:rPr>
        <w:t>Будь-які витрати, які вже на 100% співфінансуються з іншого джерела фінансування ЄС або національної чи регіональної субсидії, н</w:t>
      </w:r>
      <w:r w:rsidR="00A62802">
        <w:rPr>
          <w:rFonts w:ascii="Times New Roman" w:hAnsi="Times New Roman" w:cs="Times New Roman"/>
          <w:sz w:val="28"/>
          <w:szCs w:val="28"/>
          <w:lang w:val="uk-UA" w:bidi="uk-UA"/>
        </w:rPr>
        <w:t>е є прийнятними в контексті проє</w:t>
      </w:r>
      <w:r w:rsidRPr="002217E4">
        <w:rPr>
          <w:rFonts w:ascii="Times New Roman" w:hAnsi="Times New Roman" w:cs="Times New Roman"/>
          <w:sz w:val="28"/>
          <w:szCs w:val="28"/>
          <w:lang w:val="uk-UA" w:bidi="uk-UA"/>
        </w:rPr>
        <w:t xml:space="preserve">кту </w:t>
      </w:r>
      <w:r w:rsidRPr="00A6607D">
        <w:rPr>
          <w:rFonts w:ascii="Times New Roman" w:hAnsi="Times New Roman" w:cs="Times New Roman"/>
          <w:sz w:val="28"/>
          <w:szCs w:val="28"/>
          <w:lang w:bidi="uk-UA"/>
        </w:rPr>
        <w:t>Interreg</w:t>
      </w:r>
      <w:r w:rsidRPr="002217E4">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Europe</w:t>
      </w:r>
      <w:r w:rsidRPr="002217E4">
        <w:rPr>
          <w:rFonts w:ascii="Times New Roman" w:hAnsi="Times New Roman" w:cs="Times New Roman"/>
          <w:sz w:val="28"/>
          <w:szCs w:val="28"/>
          <w:lang w:val="uk-UA" w:bidi="uk-UA"/>
        </w:rPr>
        <w:t xml:space="preserve"> (подвійне фінансування). Якщо витрати вже частково співфінансуються з національних або регіональних джерел, діяльність та пов'язані з нею витрати можуть вважатися прийнятними для програми </w:t>
      </w:r>
      <w:r w:rsidRPr="00A6607D">
        <w:rPr>
          <w:rFonts w:ascii="Times New Roman" w:hAnsi="Times New Roman" w:cs="Times New Roman"/>
          <w:sz w:val="28"/>
          <w:szCs w:val="28"/>
          <w:lang w:bidi="uk-UA"/>
        </w:rPr>
        <w:t>Interreg</w:t>
      </w:r>
      <w:r w:rsidRPr="002217E4">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Europe</w:t>
      </w:r>
      <w:r w:rsidRPr="002217E4">
        <w:rPr>
          <w:rFonts w:ascii="Times New Roman" w:hAnsi="Times New Roman" w:cs="Times New Roman"/>
          <w:sz w:val="28"/>
          <w:szCs w:val="28"/>
          <w:lang w:val="uk-UA" w:bidi="uk-UA"/>
        </w:rPr>
        <w:t xml:space="preserve"> лише в тому випадку, якщо національна або регіональна субсидія не перевищує частку партнера в цих витратах (20 або 30% в залежності від юридичного статусу партнера). </w:t>
      </w:r>
      <w:r w:rsidRPr="00A6607D">
        <w:rPr>
          <w:rFonts w:ascii="Times New Roman" w:hAnsi="Times New Roman" w:cs="Times New Roman"/>
          <w:sz w:val="28"/>
          <w:szCs w:val="28"/>
          <w:lang w:bidi="uk-UA"/>
        </w:rPr>
        <w:t>В останньому випадку необхідно повідомити національну або регіональну фінансову установу. В рамках програми Interreg Europe витрати, пов'язані з нагородами та призами, що надаються або вручаються на конкурсах, організованих партнерами проекту, не підлягають відшкодуванню</w:t>
      </w:r>
      <w:r w:rsidR="00A62802">
        <w:rPr>
          <w:rFonts w:ascii="Times New Roman" w:hAnsi="Times New Roman" w:cs="Times New Roman"/>
          <w:sz w:val="28"/>
          <w:szCs w:val="28"/>
          <w:lang w:val="uk-UA" w:bidi="uk-UA"/>
        </w:rPr>
        <w:t>.</w:t>
      </w:r>
    </w:p>
    <w:p w14:paraId="34C83209" w14:textId="77777777" w:rsidR="004A7F10" w:rsidRPr="00A6607D" w:rsidRDefault="004A7F10" w:rsidP="00E1512D">
      <w:pPr>
        <w:pStyle w:val="a6"/>
        <w:rPr>
          <w:rFonts w:ascii="Times New Roman" w:hAnsi="Times New Roman" w:cs="Times New Roman"/>
          <w:sz w:val="28"/>
          <w:szCs w:val="28"/>
          <w:lang w:val="uk-UA" w:bidi="uk-UA"/>
        </w:rPr>
      </w:pPr>
    </w:p>
    <w:p w14:paraId="7F344B92" w14:textId="77777777" w:rsidR="002C286A" w:rsidRPr="00A6607D" w:rsidRDefault="008017C0" w:rsidP="00486598">
      <w:pPr>
        <w:pStyle w:val="a6"/>
        <w:numPr>
          <w:ilvl w:val="0"/>
          <w:numId w:val="4"/>
        </w:numPr>
        <w:jc w:val="center"/>
        <w:rPr>
          <w:rFonts w:ascii="Times New Roman" w:hAnsi="Times New Roman" w:cs="Times New Roman"/>
          <w:b/>
          <w:bCs/>
          <w:sz w:val="28"/>
          <w:szCs w:val="28"/>
          <w:lang w:val="uk-UA" w:bidi="uk-UA"/>
        </w:rPr>
      </w:pPr>
      <w:r w:rsidRPr="00A6607D">
        <w:rPr>
          <w:rFonts w:ascii="Times New Roman" w:hAnsi="Times New Roman" w:cs="Times New Roman"/>
          <w:b/>
          <w:bCs/>
          <w:sz w:val="28"/>
          <w:szCs w:val="28"/>
          <w:lang w:val="uk-UA" w:bidi="uk-UA"/>
        </w:rPr>
        <w:lastRenderedPageBreak/>
        <w:t>Звітування  та п</w:t>
      </w:r>
      <w:r w:rsidR="004A7F10" w:rsidRPr="00A6607D">
        <w:rPr>
          <w:rFonts w:ascii="Times New Roman" w:hAnsi="Times New Roman" w:cs="Times New Roman"/>
          <w:b/>
          <w:bCs/>
          <w:sz w:val="28"/>
          <w:szCs w:val="28"/>
          <w:lang w:val="uk-UA" w:bidi="uk-UA"/>
        </w:rPr>
        <w:t>орядок проведення співфінансування</w:t>
      </w:r>
      <w:r w:rsidR="00486598" w:rsidRPr="00A6607D">
        <w:rPr>
          <w:rFonts w:ascii="Times New Roman" w:hAnsi="Times New Roman" w:cs="Times New Roman"/>
          <w:b/>
          <w:bCs/>
          <w:sz w:val="28"/>
          <w:szCs w:val="28"/>
          <w:lang w:val="uk-UA" w:bidi="uk-UA"/>
        </w:rPr>
        <w:t>.</w:t>
      </w:r>
    </w:p>
    <w:p w14:paraId="14442B1C" w14:textId="70DD310F" w:rsidR="004A7F10" w:rsidRPr="00A62802" w:rsidRDefault="00726CCB"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Interreg</w:t>
      </w:r>
      <w:r w:rsidRPr="002217E4">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Europe</w:t>
      </w:r>
      <w:r w:rsidRPr="002217E4">
        <w:rPr>
          <w:rFonts w:ascii="Times New Roman" w:hAnsi="Times New Roman" w:cs="Times New Roman"/>
          <w:sz w:val="28"/>
          <w:szCs w:val="28"/>
          <w:lang w:val="uk-UA" w:bidi="uk-UA"/>
        </w:rPr>
        <w:t xml:space="preserve"> застосовує принцип "контрактного партнерства лише з одним партнером" до бюджетування та звітування про витрати, пов'язані з діяльністю та завданнями, які становлять спільну вигоду для всіх партнерів про</w:t>
      </w:r>
      <w:r w:rsidR="00A62802">
        <w:rPr>
          <w:rFonts w:ascii="Times New Roman" w:hAnsi="Times New Roman" w:cs="Times New Roman"/>
          <w:sz w:val="28"/>
          <w:szCs w:val="28"/>
          <w:lang w:val="uk-UA" w:bidi="uk-UA"/>
        </w:rPr>
        <w:t>єкту (наприклад, управління проє</w:t>
      </w:r>
      <w:r w:rsidRPr="002217E4">
        <w:rPr>
          <w:rFonts w:ascii="Times New Roman" w:hAnsi="Times New Roman" w:cs="Times New Roman"/>
          <w:sz w:val="28"/>
          <w:szCs w:val="28"/>
          <w:lang w:val="uk-UA" w:bidi="uk-UA"/>
        </w:rPr>
        <w:t xml:space="preserve">ктом, заходи з розповсюдження інформації про проект тощо). </w:t>
      </w:r>
      <w:r w:rsidRPr="00A6607D">
        <w:rPr>
          <w:rFonts w:ascii="Times New Roman" w:hAnsi="Times New Roman" w:cs="Times New Roman"/>
          <w:sz w:val="28"/>
          <w:szCs w:val="28"/>
          <w:lang w:bidi="uk-UA"/>
        </w:rPr>
        <w:t>На практиці це означає, що неможливо розділити витрати на ці вид</w:t>
      </w:r>
      <w:r w:rsidR="00672FD3">
        <w:rPr>
          <w:rFonts w:ascii="Times New Roman" w:hAnsi="Times New Roman" w:cs="Times New Roman"/>
          <w:sz w:val="28"/>
          <w:szCs w:val="28"/>
          <w:lang w:bidi="uk-UA"/>
        </w:rPr>
        <w:t>и діяльності між партнерами про</w:t>
      </w:r>
      <w:r w:rsidR="00672FD3">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Контрактний партнер є єдиним партнером, який складає бюджет, оплачує, звітує за 100% витрат на спільні вигоди та отримує відповідні кошти Interreg</w:t>
      </w:r>
      <w:r w:rsidR="00A62802">
        <w:rPr>
          <w:rFonts w:ascii="Times New Roman" w:hAnsi="Times New Roman" w:cs="Times New Roman"/>
          <w:sz w:val="28"/>
          <w:szCs w:val="28"/>
          <w:lang w:val="uk-UA" w:bidi="uk-UA"/>
        </w:rPr>
        <w:t>.</w:t>
      </w:r>
    </w:p>
    <w:p w14:paraId="16368972" w14:textId="34088BB5" w:rsidR="004A7F10" w:rsidRPr="00A6607D" w:rsidRDefault="00726CCB"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Вся фінансова звітність та контроль за виконанням про</w:t>
      </w:r>
      <w:r w:rsidR="00A62802">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здійсню</w:t>
      </w:r>
      <w:r w:rsidR="008017C0" w:rsidRPr="00A6607D">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т</w:t>
      </w:r>
      <w:r w:rsidR="008017C0" w:rsidRPr="00A6607D">
        <w:rPr>
          <w:rFonts w:ascii="Times New Roman" w:hAnsi="Times New Roman" w:cs="Times New Roman"/>
          <w:sz w:val="28"/>
          <w:szCs w:val="28"/>
          <w:lang w:val="uk-UA" w:bidi="uk-UA"/>
        </w:rPr>
        <w:t>ь</w:t>
      </w:r>
      <w:r w:rsidRPr="00A6607D">
        <w:rPr>
          <w:rFonts w:ascii="Times New Roman" w:hAnsi="Times New Roman" w:cs="Times New Roman"/>
          <w:sz w:val="28"/>
          <w:szCs w:val="28"/>
          <w:lang w:bidi="uk-UA"/>
        </w:rPr>
        <w:t>ся в євро. Звіти про витрати пода</w:t>
      </w:r>
      <w:r w:rsidR="008017C0" w:rsidRPr="00A6607D">
        <w:rPr>
          <w:rFonts w:ascii="Times New Roman" w:hAnsi="Times New Roman" w:cs="Times New Roman"/>
          <w:sz w:val="28"/>
          <w:szCs w:val="28"/>
          <w:lang w:val="uk-UA" w:bidi="uk-UA"/>
        </w:rPr>
        <w:t>ють</w:t>
      </w:r>
      <w:r w:rsidRPr="00A6607D">
        <w:rPr>
          <w:rFonts w:ascii="Times New Roman" w:hAnsi="Times New Roman" w:cs="Times New Roman"/>
          <w:sz w:val="28"/>
          <w:szCs w:val="28"/>
          <w:lang w:bidi="uk-UA"/>
        </w:rPr>
        <w:t xml:space="preserve">ся до Cпільного секретаріату в євро, і програма </w:t>
      </w:r>
      <w:r w:rsidR="008017C0" w:rsidRPr="00A6607D">
        <w:rPr>
          <w:rFonts w:ascii="Times New Roman" w:hAnsi="Times New Roman" w:cs="Times New Roman"/>
          <w:sz w:val="28"/>
          <w:szCs w:val="28"/>
          <w:lang w:val="uk-UA" w:bidi="uk-UA"/>
        </w:rPr>
        <w:t xml:space="preserve">має відшкодувавати </w:t>
      </w:r>
      <w:r w:rsidRPr="00A6607D">
        <w:rPr>
          <w:rFonts w:ascii="Times New Roman" w:hAnsi="Times New Roman" w:cs="Times New Roman"/>
          <w:sz w:val="28"/>
          <w:szCs w:val="28"/>
          <w:lang w:bidi="uk-UA"/>
        </w:rPr>
        <w:t>всі кошти Interreg в євро. Відповідно до статті 38 (5) Регламенту (ЄС) № 2021/1059, витрати, сплачені в іншій валюті, повинні бути конвертовані в євро партнерами з країн, які не прийняли євро як свою валюту. У цих випадках система онлайн-моніторингу автоматично застосовуватиме обмінний курс Європейської Комісії, який діє в місяці, коли звіт партнера подається на перевірку контролеру (в системі моніторингу на Порталі). Щомісячні курси обміну валют Комісії публікуються на: https://commission.europa.eu/funding-tenders/procedures-guidelines-tenders/information-contractors-and- beneficiaries/exchange-rate-inforeuro_en</w:t>
      </w:r>
    </w:p>
    <w:p w14:paraId="45439DB3" w14:textId="77777777" w:rsidR="008017C0" w:rsidRPr="00A6607D" w:rsidRDefault="00726CCB"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Звітувати про витрати можна лише за умови дотримання наступних принципів</w:t>
      </w:r>
      <w:r w:rsidR="00853076" w:rsidRPr="00A6607D">
        <w:rPr>
          <w:rFonts w:ascii="Times New Roman" w:hAnsi="Times New Roman" w:cs="Times New Roman"/>
          <w:sz w:val="28"/>
          <w:szCs w:val="28"/>
          <w:lang w:val="uk-UA" w:bidi="uk-UA"/>
        </w:rPr>
        <w:t>:</w:t>
      </w:r>
    </w:p>
    <w:p w14:paraId="4E05BA36" w14:textId="77777777" w:rsidR="008017C0" w:rsidRPr="00A6607D" w:rsidRDefault="00726CCB" w:rsidP="00E1512D">
      <w:pPr>
        <w:pStyle w:val="a6"/>
        <w:ind w:firstLine="317"/>
        <w:rPr>
          <w:rFonts w:ascii="Times New Roman" w:hAnsi="Times New Roman" w:cs="Times New Roman"/>
          <w:sz w:val="28"/>
          <w:szCs w:val="28"/>
          <w:lang w:val="uk-UA" w:bidi="uk-UA"/>
        </w:rPr>
      </w:pPr>
      <w:r w:rsidRPr="00A6607D">
        <w:rPr>
          <w:rFonts w:ascii="Times New Roman" w:hAnsi="Times New Roman" w:cs="Times New Roman"/>
          <w:sz w:val="28"/>
          <w:szCs w:val="28"/>
          <w:lang w:bidi="uk-UA"/>
        </w:rPr>
        <w:t>1</w:t>
      </w:r>
      <w:r w:rsidR="00853076"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r w:rsidR="00853076"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Розрахунок</w:t>
      </w:r>
      <w:r w:rsidR="008017C0"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базується на фактичних витратах</w:t>
      </w:r>
      <w:r w:rsidR="00853076" w:rsidRPr="00A6607D">
        <w:rPr>
          <w:rFonts w:ascii="Times New Roman" w:hAnsi="Times New Roman" w:cs="Times New Roman"/>
          <w:sz w:val="28"/>
          <w:szCs w:val="28"/>
          <w:lang w:val="uk-UA" w:bidi="uk-UA"/>
        </w:rPr>
        <w:t>;</w:t>
      </w:r>
    </w:p>
    <w:p w14:paraId="4CC58FD2" w14:textId="1C57CD28" w:rsidR="008017C0" w:rsidRPr="00A6607D" w:rsidRDefault="008017C0" w:rsidP="00E1512D">
      <w:pPr>
        <w:pStyle w:val="a6"/>
        <w:ind w:firstLine="317"/>
        <w:rPr>
          <w:rFonts w:ascii="Times New Roman" w:hAnsi="Times New Roman" w:cs="Times New Roman"/>
          <w:sz w:val="28"/>
          <w:szCs w:val="28"/>
          <w:lang w:bidi="uk-UA"/>
        </w:rPr>
      </w:pPr>
      <w:r w:rsidRPr="00A6607D">
        <w:rPr>
          <w:rFonts w:ascii="Times New Roman" w:hAnsi="Times New Roman" w:cs="Times New Roman"/>
          <w:sz w:val="28"/>
          <w:szCs w:val="28"/>
          <w:lang w:val="uk-UA" w:bidi="uk-UA"/>
        </w:rPr>
        <w:t xml:space="preserve">2. </w:t>
      </w:r>
      <w:r w:rsidR="00726CCB" w:rsidRPr="00A6607D">
        <w:rPr>
          <w:rFonts w:ascii="Times New Roman" w:hAnsi="Times New Roman" w:cs="Times New Roman"/>
          <w:sz w:val="28"/>
          <w:szCs w:val="28"/>
          <w:lang w:bidi="uk-UA"/>
        </w:rPr>
        <w:t xml:space="preserve"> Витрати</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покриваються</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партнером і не виникли б</w:t>
      </w:r>
      <w:r w:rsidRPr="00A6607D">
        <w:rPr>
          <w:rFonts w:ascii="Times New Roman" w:hAnsi="Times New Roman" w:cs="Times New Roman"/>
          <w:sz w:val="28"/>
          <w:szCs w:val="28"/>
          <w:lang w:val="uk-UA" w:bidi="uk-UA"/>
        </w:rPr>
        <w:t xml:space="preserve"> </w:t>
      </w:r>
      <w:r w:rsidR="00934EDC" w:rsidRPr="00A6607D">
        <w:rPr>
          <w:rFonts w:ascii="Times New Roman" w:hAnsi="Times New Roman" w:cs="Times New Roman"/>
          <w:sz w:val="28"/>
          <w:szCs w:val="28"/>
          <w:lang w:bidi="uk-UA"/>
        </w:rPr>
        <w:t>без</w:t>
      </w:r>
      <w:r w:rsidR="00934EDC" w:rsidRPr="00A6607D">
        <w:rPr>
          <w:rFonts w:ascii="Times New Roman" w:hAnsi="Times New Roman" w:cs="Times New Roman"/>
          <w:sz w:val="28"/>
          <w:szCs w:val="28"/>
          <w:lang w:val="uk-UA" w:bidi="uk-UA"/>
        </w:rPr>
        <w:t xml:space="preserve"> </w:t>
      </w:r>
      <w:r w:rsidR="00934EDC" w:rsidRPr="00A6607D">
        <w:rPr>
          <w:rFonts w:ascii="Times New Roman" w:hAnsi="Times New Roman" w:cs="Times New Roman"/>
          <w:sz w:val="28"/>
          <w:szCs w:val="28"/>
          <w:lang w:bidi="uk-UA"/>
        </w:rPr>
        <w:t>про</w:t>
      </w:r>
      <w:r w:rsidR="00B57A7F">
        <w:rPr>
          <w:rFonts w:ascii="Times New Roman" w:hAnsi="Times New Roman" w:cs="Times New Roman"/>
          <w:sz w:val="28"/>
          <w:szCs w:val="28"/>
          <w:lang w:val="uk-UA" w:bidi="uk-UA"/>
        </w:rPr>
        <w:t>є</w:t>
      </w:r>
      <w:r w:rsidR="00934EDC" w:rsidRPr="00A6607D">
        <w:rPr>
          <w:rFonts w:ascii="Times New Roman" w:hAnsi="Times New Roman" w:cs="Times New Roman"/>
          <w:sz w:val="28"/>
          <w:szCs w:val="28"/>
          <w:lang w:bidi="uk-UA"/>
        </w:rPr>
        <w:t>кта</w:t>
      </w:r>
      <w:r w:rsidR="00853076" w:rsidRPr="00A6607D">
        <w:rPr>
          <w:rFonts w:ascii="Times New Roman" w:hAnsi="Times New Roman" w:cs="Times New Roman"/>
          <w:sz w:val="28"/>
          <w:szCs w:val="28"/>
          <w:lang w:val="uk-UA" w:bidi="uk-UA"/>
        </w:rPr>
        <w:t>;</w:t>
      </w:r>
      <w:r w:rsidR="00726CCB" w:rsidRPr="00A6607D">
        <w:rPr>
          <w:rFonts w:ascii="Times New Roman" w:hAnsi="Times New Roman" w:cs="Times New Roman"/>
          <w:sz w:val="28"/>
          <w:szCs w:val="28"/>
          <w:lang w:bidi="uk-UA"/>
        </w:rPr>
        <w:t xml:space="preserve"> </w:t>
      </w:r>
    </w:p>
    <w:p w14:paraId="522B3BD6" w14:textId="77777777" w:rsidR="008017C0" w:rsidRPr="00A6607D" w:rsidRDefault="008017C0" w:rsidP="00E1512D">
      <w:pPr>
        <w:pStyle w:val="a6"/>
        <w:ind w:firstLine="317"/>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 xml:space="preserve">3. </w:t>
      </w:r>
      <w:r w:rsidR="00726CCB" w:rsidRPr="00A6607D">
        <w:rPr>
          <w:rFonts w:ascii="Times New Roman" w:hAnsi="Times New Roman" w:cs="Times New Roman"/>
          <w:sz w:val="28"/>
          <w:szCs w:val="28"/>
          <w:lang w:bidi="uk-UA"/>
        </w:rPr>
        <w:t xml:space="preserve"> Витрати</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були</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здійснені до кінця звітного періоду</w:t>
      </w:r>
      <w:r w:rsidR="00853076" w:rsidRPr="00A6607D">
        <w:rPr>
          <w:rFonts w:ascii="Times New Roman" w:hAnsi="Times New Roman" w:cs="Times New Roman"/>
          <w:sz w:val="28"/>
          <w:szCs w:val="28"/>
          <w:lang w:val="uk-UA" w:bidi="uk-UA"/>
        </w:rPr>
        <w:t>;</w:t>
      </w:r>
    </w:p>
    <w:p w14:paraId="5FA364B2" w14:textId="77777777" w:rsidR="008017C0" w:rsidRPr="00A6607D" w:rsidRDefault="00726CCB" w:rsidP="00E1512D">
      <w:pPr>
        <w:pStyle w:val="a6"/>
        <w:ind w:firstLine="677"/>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Витрати оплачені, коли сума списана з банківського рахунку організації-партнера. Факт оплати зазвичай підтверджується банківською випискою. Датою платежу не вважається дата, коли рахунок-фактура був виставлений, записаний або зареєстрований в бухгалтерській системі </w:t>
      </w:r>
    </w:p>
    <w:p w14:paraId="1A5AE658" w14:textId="15D3A046" w:rsidR="00726CCB" w:rsidRPr="00A6607D" w:rsidRDefault="00726CCB" w:rsidP="00E1512D">
      <w:pPr>
        <w:pStyle w:val="a6"/>
        <w:ind w:firstLine="677"/>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Як головний партнер, так і інші партнери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повинні забезпечити, щоб вся бухгалтерська документація, пов'язана з їхнім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ктом, була доступна і зберігалася окремо, навіть якщо це призводить до подвійного обліку (наприклад, якщо звичайне ведення бухгалтерського обліку вимагає централізованого зберігання, копія також повинна зберігатися в окремому файлі, щоб забезпечити швидкий доступ до підтверджуючих документів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У контексті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огляд звітних сум повинен існувати в комп'ютеризованій формі. Повинна бути можливість чітко ідентифікувати, які витрати були розподілені в рамках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 xml:space="preserve">кту і про які з них звітується, а також гарантувати, що витрати не звітуються двічі (у двох різних категоріях витрат, звітних періодах, проектах/ схемах фінансування). </w:t>
      </w:r>
    </w:p>
    <w:p w14:paraId="2C43841A" w14:textId="2823967E" w:rsidR="00615069" w:rsidRPr="00A6607D" w:rsidRDefault="00615069" w:rsidP="00615069">
      <w:pPr>
        <w:pStyle w:val="a6"/>
        <w:ind w:firstLine="56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bidi="uk-UA"/>
        </w:rPr>
        <w:t>Перед поданням до Спільного Секретаріату кожен звіт про прогрес має бути перевірений і підтверджений незалежним контролером відповідно до системи контролю, встановленої кожною країною-членом ЄС, кожною з 7 країн-кандидатів на вступ до ЄС та Норвегією (відповідно до статті 74 Регламенту (ЄС) № 2021/1060 та статті 46 (3) Регламенту (ЄС) № 2021/1059). Основною метою контролю є перевірка того, що про</w:t>
      </w:r>
      <w:r w:rsidR="00B57A7F">
        <w:rPr>
          <w:rFonts w:ascii="Times New Roman" w:hAnsi="Times New Roman" w:cs="Times New Roman"/>
          <w:spacing w:val="-12"/>
          <w:sz w:val="28"/>
          <w:szCs w:val="28"/>
          <w:lang w:val="uk-UA" w:bidi="uk-UA"/>
        </w:rPr>
        <w:t>є</w:t>
      </w:r>
      <w:r w:rsidRPr="00A6607D">
        <w:rPr>
          <w:rFonts w:ascii="Times New Roman" w:hAnsi="Times New Roman" w:cs="Times New Roman"/>
          <w:spacing w:val="-12"/>
          <w:sz w:val="28"/>
          <w:szCs w:val="28"/>
          <w:lang w:bidi="uk-UA"/>
        </w:rPr>
        <w:t xml:space="preserve">кт </w:t>
      </w:r>
      <w:r w:rsidRPr="00A6607D">
        <w:rPr>
          <w:rFonts w:ascii="Times New Roman" w:hAnsi="Times New Roman" w:cs="Times New Roman"/>
          <w:spacing w:val="-12"/>
          <w:sz w:val="28"/>
          <w:szCs w:val="28"/>
          <w:lang w:bidi="uk-UA"/>
        </w:rPr>
        <w:lastRenderedPageBreak/>
        <w:t>реалізується і що витрати, які співфінансуються в рамках програми "Interreg Europe", обліковуються та заявляються відповідно до положень контракту на отримання субсидії, затвердженої аплікаційної форми, а також правил програми, національних правил та нормативних актів Європейського Союзу</w:t>
      </w:r>
      <w:r w:rsidRPr="00A6607D">
        <w:rPr>
          <w:rFonts w:ascii="Times New Roman" w:hAnsi="Times New Roman" w:cs="Times New Roman"/>
          <w:spacing w:val="-12"/>
          <w:sz w:val="28"/>
          <w:szCs w:val="28"/>
          <w:lang w:val="uk-UA" w:bidi="uk-UA"/>
        </w:rPr>
        <w:t>.</w:t>
      </w:r>
    </w:p>
    <w:p w14:paraId="352FB3E2" w14:textId="77777777" w:rsidR="00256374" w:rsidRPr="00A6607D" w:rsidRDefault="00256374" w:rsidP="00E1512D">
      <w:pPr>
        <w:pStyle w:val="a6"/>
        <w:ind w:firstLine="677"/>
        <w:jc w:val="both"/>
        <w:rPr>
          <w:rFonts w:ascii="Times New Roman" w:hAnsi="Times New Roman" w:cs="Times New Roman"/>
          <w:sz w:val="28"/>
          <w:szCs w:val="28"/>
          <w:lang w:bidi="uk-UA"/>
        </w:rPr>
      </w:pPr>
    </w:p>
    <w:p w14:paraId="0214C829" w14:textId="77777777" w:rsidR="008B0C93" w:rsidRPr="00A6607D" w:rsidRDefault="008B0C93" w:rsidP="00486598">
      <w:pPr>
        <w:pStyle w:val="a6"/>
        <w:numPr>
          <w:ilvl w:val="0"/>
          <w:numId w:val="4"/>
        </w:numPr>
        <w:jc w:val="center"/>
        <w:rPr>
          <w:rFonts w:ascii="Times New Roman" w:hAnsi="Times New Roman" w:cs="Times New Roman"/>
          <w:b/>
          <w:spacing w:val="-12"/>
          <w:sz w:val="28"/>
          <w:szCs w:val="28"/>
          <w:lang w:val="uk-UA" w:bidi="uk-UA"/>
        </w:rPr>
      </w:pPr>
      <w:r w:rsidRPr="00A6607D">
        <w:rPr>
          <w:rFonts w:ascii="Times New Roman" w:hAnsi="Times New Roman" w:cs="Times New Roman"/>
          <w:b/>
          <w:spacing w:val="-12"/>
          <w:sz w:val="28"/>
          <w:szCs w:val="28"/>
          <w:lang w:val="uk-UA" w:bidi="uk-UA"/>
        </w:rPr>
        <w:t>Організація і контроль за виконанням Програми</w:t>
      </w:r>
    </w:p>
    <w:p w14:paraId="724F8550" w14:textId="44E0B3EF" w:rsidR="008B0C93" w:rsidRPr="00A6607D" w:rsidRDefault="008B0C93" w:rsidP="00E1512D">
      <w:pPr>
        <w:pStyle w:val="a6"/>
        <w:ind w:firstLine="31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Відповідальність за організацію виконання та контроль реалізації Програми покладається на</w:t>
      </w:r>
      <w:r w:rsidR="00126135" w:rsidRPr="00A6607D">
        <w:rPr>
          <w:rFonts w:ascii="Times New Roman" w:hAnsi="Times New Roman" w:cs="Times New Roman"/>
          <w:spacing w:val="-12"/>
          <w:sz w:val="28"/>
          <w:szCs w:val="28"/>
          <w:lang w:val="uk-UA" w:bidi="uk-UA"/>
        </w:rPr>
        <w:t xml:space="preserve"> відділ з питань міжнародного співробітництва та енергоменеджменту</w:t>
      </w:r>
      <w:r w:rsidR="00B57A7F">
        <w:rPr>
          <w:rFonts w:ascii="Times New Roman" w:hAnsi="Times New Roman" w:cs="Times New Roman"/>
          <w:spacing w:val="-12"/>
          <w:sz w:val="28"/>
          <w:szCs w:val="28"/>
          <w:lang w:val="uk-UA" w:bidi="uk-UA"/>
        </w:rPr>
        <w:t>, енергоменеджер</w:t>
      </w:r>
      <w:r w:rsidR="00126135" w:rsidRPr="00A6607D">
        <w:rPr>
          <w:rFonts w:ascii="Times New Roman" w:hAnsi="Times New Roman" w:cs="Times New Roman"/>
          <w:spacing w:val="-12"/>
          <w:sz w:val="28"/>
          <w:szCs w:val="28"/>
          <w:lang w:val="uk-UA" w:bidi="uk-UA"/>
        </w:rPr>
        <w:t xml:space="preserve"> управління інвестицій та економічного розвитку </w:t>
      </w:r>
      <w:r w:rsidRPr="00A6607D">
        <w:rPr>
          <w:rFonts w:ascii="Times New Roman" w:hAnsi="Times New Roman" w:cs="Times New Roman"/>
          <w:spacing w:val="-12"/>
          <w:sz w:val="28"/>
          <w:szCs w:val="28"/>
          <w:lang w:val="uk-UA" w:bidi="uk-UA"/>
        </w:rPr>
        <w:t xml:space="preserve">виконавчого комітету </w:t>
      </w:r>
      <w:r w:rsidR="00126135" w:rsidRPr="00A6607D">
        <w:rPr>
          <w:rFonts w:ascii="Times New Roman" w:hAnsi="Times New Roman" w:cs="Times New Roman"/>
          <w:spacing w:val="-12"/>
          <w:sz w:val="28"/>
          <w:szCs w:val="28"/>
          <w:lang w:val="uk-UA" w:bidi="uk-UA"/>
        </w:rPr>
        <w:t xml:space="preserve">Дрогобицької </w:t>
      </w:r>
      <w:r w:rsidRPr="00A6607D">
        <w:rPr>
          <w:rFonts w:ascii="Times New Roman" w:hAnsi="Times New Roman" w:cs="Times New Roman"/>
          <w:spacing w:val="-12"/>
          <w:sz w:val="28"/>
          <w:szCs w:val="28"/>
          <w:lang w:val="uk-UA" w:bidi="uk-UA"/>
        </w:rPr>
        <w:t>міської ради.</w:t>
      </w:r>
    </w:p>
    <w:p w14:paraId="6FBA45A6" w14:textId="77777777" w:rsidR="008B0C93" w:rsidRPr="00A6607D" w:rsidRDefault="008B0C93" w:rsidP="00E1512D">
      <w:pPr>
        <w:pStyle w:val="a6"/>
        <w:ind w:firstLine="31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До його функціональних обов’язків належить:</w:t>
      </w:r>
    </w:p>
    <w:p w14:paraId="580EDE53"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координація участі міської ради в заходах Програми;</w:t>
      </w:r>
    </w:p>
    <w:p w14:paraId="4D73FB15"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забезпечення належної взаємодії з партнерами міжнародного консорціуму;</w:t>
      </w:r>
    </w:p>
    <w:p w14:paraId="757421CD"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контроль за дотриманням графіка реалізації проєктних заходів;</w:t>
      </w:r>
    </w:p>
    <w:p w14:paraId="0341B920"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підготовка та подання проміжної та підсумкової звітності відповідно до вимог Програми INTERREG Europe;</w:t>
      </w:r>
    </w:p>
    <w:p w14:paraId="0B67B9A6"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організація локальних інформаційних заходів та поширення результатів Програми серед місцевої громади;</w:t>
      </w:r>
    </w:p>
    <w:p w14:paraId="2549D18D"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забезпечення дотримання умов співфінансування з місцевого бюджету.</w:t>
      </w:r>
    </w:p>
    <w:p w14:paraId="1BF8DA31" w14:textId="77777777" w:rsidR="008B0C93" w:rsidRPr="00A6607D" w:rsidRDefault="008B0C93" w:rsidP="00E1512D">
      <w:pPr>
        <w:pStyle w:val="a6"/>
        <w:ind w:firstLine="360"/>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Контроль за виконанням Програми здійснюється також у взаємодії з:</w:t>
      </w:r>
    </w:p>
    <w:p w14:paraId="34D75B70" w14:textId="36C90F60" w:rsidR="008B0C93" w:rsidRPr="00A6607D" w:rsidRDefault="00746913" w:rsidP="00E1512D">
      <w:pPr>
        <w:pStyle w:val="a6"/>
        <w:numPr>
          <w:ilvl w:val="0"/>
          <w:numId w:val="10"/>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відділ</w:t>
      </w:r>
      <w:r w:rsidR="00CE118A">
        <w:rPr>
          <w:rFonts w:ascii="Times New Roman" w:hAnsi="Times New Roman" w:cs="Times New Roman"/>
          <w:spacing w:val="-12"/>
          <w:sz w:val="28"/>
          <w:szCs w:val="28"/>
          <w:lang w:val="uk-UA" w:bidi="uk-UA"/>
        </w:rPr>
        <w:t>ом</w:t>
      </w:r>
      <w:r w:rsidRPr="00A6607D">
        <w:rPr>
          <w:rFonts w:ascii="Times New Roman" w:hAnsi="Times New Roman" w:cs="Times New Roman"/>
          <w:spacing w:val="-12"/>
          <w:sz w:val="28"/>
          <w:szCs w:val="28"/>
          <w:lang w:val="uk-UA" w:bidi="uk-UA"/>
        </w:rPr>
        <w:t xml:space="preserve"> бухгалтерського обліку</w:t>
      </w:r>
      <w:r w:rsidR="00126135" w:rsidRPr="00A6607D">
        <w:rPr>
          <w:rFonts w:ascii="Times New Roman" w:hAnsi="Times New Roman" w:cs="Times New Roman"/>
          <w:spacing w:val="-12"/>
          <w:sz w:val="28"/>
          <w:szCs w:val="28"/>
          <w:lang w:val="uk-UA" w:bidi="uk-UA"/>
        </w:rPr>
        <w:t xml:space="preserve"> та звітності</w:t>
      </w:r>
      <w:r w:rsidRPr="00A6607D">
        <w:rPr>
          <w:rFonts w:ascii="Times New Roman" w:hAnsi="Times New Roman" w:cs="Times New Roman"/>
          <w:spacing w:val="-12"/>
          <w:sz w:val="28"/>
          <w:szCs w:val="28"/>
          <w:lang w:val="uk-UA" w:bidi="uk-UA"/>
        </w:rPr>
        <w:t xml:space="preserve"> </w:t>
      </w:r>
      <w:r w:rsidR="008B0C93" w:rsidRPr="00A6607D">
        <w:rPr>
          <w:rFonts w:ascii="Times New Roman" w:hAnsi="Times New Roman" w:cs="Times New Roman"/>
          <w:spacing w:val="-12"/>
          <w:sz w:val="28"/>
          <w:szCs w:val="28"/>
          <w:lang w:val="uk-UA" w:bidi="uk-UA"/>
        </w:rPr>
        <w:t xml:space="preserve"> </w:t>
      </w:r>
      <w:r w:rsidR="00CE118A">
        <w:rPr>
          <w:rFonts w:ascii="Times New Roman" w:hAnsi="Times New Roman" w:cs="Times New Roman"/>
          <w:spacing w:val="-12"/>
          <w:sz w:val="28"/>
          <w:szCs w:val="28"/>
          <w:lang w:val="uk-UA" w:bidi="uk-UA"/>
        </w:rPr>
        <w:t>викона</w:t>
      </w:r>
      <w:r w:rsidR="00B57A7F">
        <w:rPr>
          <w:rFonts w:ascii="Times New Roman" w:hAnsi="Times New Roman" w:cs="Times New Roman"/>
          <w:spacing w:val="-12"/>
          <w:sz w:val="28"/>
          <w:szCs w:val="28"/>
          <w:lang w:val="uk-UA" w:bidi="uk-UA"/>
        </w:rPr>
        <w:t>в</w:t>
      </w:r>
      <w:r w:rsidR="00CE118A">
        <w:rPr>
          <w:rFonts w:ascii="Times New Roman" w:hAnsi="Times New Roman" w:cs="Times New Roman"/>
          <w:spacing w:val="-12"/>
          <w:sz w:val="28"/>
          <w:szCs w:val="28"/>
          <w:lang w:val="uk-UA" w:bidi="uk-UA"/>
        </w:rPr>
        <w:t>чого коміт</w:t>
      </w:r>
      <w:r w:rsidR="00B57A7F">
        <w:rPr>
          <w:rFonts w:ascii="Times New Roman" w:hAnsi="Times New Roman" w:cs="Times New Roman"/>
          <w:spacing w:val="-12"/>
          <w:sz w:val="28"/>
          <w:szCs w:val="28"/>
          <w:lang w:val="uk-UA" w:bidi="uk-UA"/>
        </w:rPr>
        <w:t xml:space="preserve">ету </w:t>
      </w:r>
      <w:r w:rsidR="00126135" w:rsidRPr="00A6607D">
        <w:rPr>
          <w:rFonts w:ascii="Times New Roman" w:hAnsi="Times New Roman" w:cs="Times New Roman"/>
          <w:spacing w:val="-12"/>
          <w:sz w:val="28"/>
          <w:szCs w:val="28"/>
          <w:lang w:val="uk-UA" w:bidi="uk-UA"/>
        </w:rPr>
        <w:t>Дрогобицької</w:t>
      </w:r>
      <w:r w:rsidR="008B0C93" w:rsidRPr="00A6607D">
        <w:rPr>
          <w:rFonts w:ascii="Times New Roman" w:hAnsi="Times New Roman" w:cs="Times New Roman"/>
          <w:spacing w:val="-12"/>
          <w:sz w:val="28"/>
          <w:szCs w:val="28"/>
          <w:lang w:val="uk-UA" w:bidi="uk-UA"/>
        </w:rPr>
        <w:t xml:space="preserve"> міської ради — у частині обліку коштів і бюджетного супроводу</w:t>
      </w:r>
      <w:r w:rsidR="0096606F" w:rsidRPr="00A6607D">
        <w:rPr>
          <w:rFonts w:ascii="Times New Roman" w:hAnsi="Times New Roman" w:cs="Times New Roman"/>
          <w:spacing w:val="-12"/>
          <w:sz w:val="28"/>
          <w:szCs w:val="28"/>
          <w:lang w:val="uk-UA" w:bidi="uk-UA"/>
        </w:rPr>
        <w:t>, подачі звітності</w:t>
      </w:r>
      <w:r w:rsidR="008B0C93" w:rsidRPr="00A6607D">
        <w:rPr>
          <w:rFonts w:ascii="Times New Roman" w:hAnsi="Times New Roman" w:cs="Times New Roman"/>
          <w:spacing w:val="-12"/>
          <w:sz w:val="28"/>
          <w:szCs w:val="28"/>
          <w:lang w:val="uk-UA" w:bidi="uk-UA"/>
        </w:rPr>
        <w:t>;</w:t>
      </w:r>
    </w:p>
    <w:p w14:paraId="44DB9A69" w14:textId="77777777" w:rsidR="008B0C93" w:rsidRPr="00A6607D" w:rsidRDefault="008B0C93" w:rsidP="00E1512D">
      <w:pPr>
        <w:pStyle w:val="a6"/>
        <w:numPr>
          <w:ilvl w:val="0"/>
          <w:numId w:val="10"/>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партнерськими організаціями з інших країн — у межах спільної звітності та координаційних заходів;</w:t>
      </w:r>
    </w:p>
    <w:p w14:paraId="37BF919D" w14:textId="27CCF0EF" w:rsidR="008B0C93" w:rsidRPr="00A6607D" w:rsidRDefault="008B0C93" w:rsidP="00E1512D">
      <w:pPr>
        <w:pStyle w:val="a6"/>
        <w:numPr>
          <w:ilvl w:val="0"/>
          <w:numId w:val="10"/>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 xml:space="preserve">представниками </w:t>
      </w:r>
      <w:r w:rsidR="00256374" w:rsidRPr="00A6607D">
        <w:rPr>
          <w:rFonts w:ascii="Times New Roman" w:hAnsi="Times New Roman" w:cs="Times New Roman"/>
          <w:spacing w:val="-12"/>
          <w:sz w:val="28"/>
          <w:szCs w:val="28"/>
          <w:lang w:val="uk-UA" w:bidi="uk-UA"/>
        </w:rPr>
        <w:t>проекту</w:t>
      </w:r>
      <w:r w:rsidRPr="00A6607D">
        <w:rPr>
          <w:rFonts w:ascii="Times New Roman" w:hAnsi="Times New Roman" w:cs="Times New Roman"/>
          <w:spacing w:val="-12"/>
          <w:sz w:val="28"/>
          <w:szCs w:val="28"/>
          <w:lang w:val="uk-UA" w:bidi="uk-UA"/>
        </w:rPr>
        <w:t xml:space="preserve"> </w:t>
      </w:r>
      <w:r w:rsidR="009E43A1">
        <w:rPr>
          <w:rFonts w:ascii="Times New Roman" w:hAnsi="Times New Roman" w:cs="Times New Roman"/>
          <w:spacing w:val="-12"/>
          <w:sz w:val="28"/>
          <w:szCs w:val="28"/>
          <w:lang w:val="uk-UA" w:bidi="uk-UA"/>
        </w:rPr>
        <w:t>«</w:t>
      </w:r>
      <w:r w:rsidRPr="00A6607D">
        <w:rPr>
          <w:rFonts w:ascii="Times New Roman" w:hAnsi="Times New Roman" w:cs="Times New Roman"/>
          <w:spacing w:val="-12"/>
          <w:sz w:val="28"/>
          <w:szCs w:val="28"/>
          <w:lang w:val="uk-UA" w:bidi="uk-UA"/>
        </w:rPr>
        <w:t>INTERREG Europe</w:t>
      </w:r>
      <w:r w:rsidR="009E43A1">
        <w:rPr>
          <w:rFonts w:ascii="Times New Roman" w:hAnsi="Times New Roman" w:cs="Times New Roman"/>
          <w:spacing w:val="-12"/>
          <w:sz w:val="28"/>
          <w:szCs w:val="28"/>
          <w:lang w:val="uk-UA" w:bidi="uk-UA"/>
        </w:rPr>
        <w:t>»</w:t>
      </w:r>
      <w:r w:rsidRPr="00A6607D">
        <w:rPr>
          <w:rFonts w:ascii="Times New Roman" w:hAnsi="Times New Roman" w:cs="Times New Roman"/>
          <w:spacing w:val="-12"/>
          <w:sz w:val="28"/>
          <w:szCs w:val="28"/>
          <w:lang w:val="uk-UA" w:bidi="uk-UA"/>
        </w:rPr>
        <w:t xml:space="preserve"> — у рамках зовнішнього моніторингу та оцінювання.</w:t>
      </w:r>
    </w:p>
    <w:p w14:paraId="4B41FF90" w14:textId="77777777" w:rsidR="00DF35B5" w:rsidRPr="00A6607D" w:rsidRDefault="00DF35B5" w:rsidP="00E1512D">
      <w:pPr>
        <w:pStyle w:val="a6"/>
        <w:jc w:val="both"/>
        <w:rPr>
          <w:rFonts w:ascii="Times New Roman" w:hAnsi="Times New Roman" w:cs="Times New Roman"/>
          <w:spacing w:val="-12"/>
          <w:sz w:val="28"/>
          <w:szCs w:val="28"/>
          <w:lang w:val="uk-UA" w:bidi="uk-UA"/>
        </w:rPr>
      </w:pPr>
    </w:p>
    <w:p w14:paraId="3DF614C0" w14:textId="77777777" w:rsidR="00056554" w:rsidRPr="00453EF9" w:rsidRDefault="00056554" w:rsidP="00E1512D">
      <w:pPr>
        <w:pStyle w:val="a6"/>
        <w:jc w:val="both"/>
        <w:rPr>
          <w:rFonts w:ascii="Times New Roman" w:hAnsi="Times New Roman" w:cs="Times New Roman"/>
          <w:color w:val="FF0000"/>
          <w:spacing w:val="-12"/>
          <w:sz w:val="28"/>
          <w:szCs w:val="28"/>
          <w:lang w:val="uk-UA" w:bidi="uk-UA"/>
        </w:rPr>
      </w:pPr>
    </w:p>
    <w:p w14:paraId="2486D0A2" w14:textId="1545DE69" w:rsidR="00DF35B5" w:rsidRPr="00453EF9" w:rsidRDefault="00A009E0" w:rsidP="00E1512D">
      <w:pPr>
        <w:pStyle w:val="a6"/>
        <w:jc w:val="both"/>
        <w:rPr>
          <w:rFonts w:ascii="Times New Roman" w:hAnsi="Times New Roman" w:cs="Times New Roman"/>
          <w:color w:val="FF0000"/>
          <w:spacing w:val="-12"/>
          <w:sz w:val="28"/>
          <w:szCs w:val="28"/>
          <w:lang w:val="uk-UA" w:bidi="uk-UA"/>
        </w:rPr>
      </w:pPr>
      <w:r w:rsidRPr="00453EF9">
        <w:rPr>
          <w:rFonts w:ascii="Times New Roman" w:hAnsi="Times New Roman" w:cs="Times New Roman"/>
          <w:color w:val="FF0000"/>
          <w:spacing w:val="-12"/>
          <w:sz w:val="28"/>
          <w:szCs w:val="28"/>
          <w:lang w:val="uk-UA" w:bidi="uk-UA"/>
        </w:rPr>
        <w:tab/>
      </w:r>
      <w:r w:rsidRPr="00453EF9">
        <w:rPr>
          <w:rFonts w:ascii="Times New Roman" w:hAnsi="Times New Roman" w:cs="Times New Roman"/>
          <w:color w:val="FF0000"/>
          <w:spacing w:val="-12"/>
          <w:sz w:val="28"/>
          <w:szCs w:val="28"/>
          <w:lang w:val="uk-UA" w:bidi="uk-UA"/>
        </w:rPr>
        <w:tab/>
      </w:r>
      <w:r w:rsidRPr="00453EF9">
        <w:rPr>
          <w:rFonts w:ascii="Times New Roman" w:hAnsi="Times New Roman" w:cs="Times New Roman"/>
          <w:color w:val="FF0000"/>
          <w:spacing w:val="-12"/>
          <w:sz w:val="28"/>
          <w:szCs w:val="28"/>
          <w:lang w:val="uk-UA" w:bidi="uk-UA"/>
        </w:rPr>
        <w:tab/>
      </w:r>
      <w:r w:rsidRPr="00453EF9">
        <w:rPr>
          <w:rFonts w:ascii="Times New Roman" w:hAnsi="Times New Roman" w:cs="Times New Roman"/>
          <w:color w:val="FF0000"/>
          <w:spacing w:val="-12"/>
          <w:sz w:val="28"/>
          <w:szCs w:val="28"/>
          <w:lang w:val="uk-UA" w:bidi="uk-UA"/>
        </w:rPr>
        <w:tab/>
      </w:r>
    </w:p>
    <w:p w14:paraId="1F111E74" w14:textId="77777777" w:rsidR="00362509" w:rsidRDefault="00362509" w:rsidP="00362509">
      <w:pPr>
        <w:jc w:val="both"/>
        <w:rPr>
          <w:sz w:val="28"/>
          <w:szCs w:val="28"/>
          <w:lang w:val="uk-UA"/>
        </w:rPr>
      </w:pPr>
      <w:r>
        <w:rPr>
          <w:sz w:val="28"/>
          <w:szCs w:val="28"/>
          <w:lang w:val="uk-UA"/>
        </w:rPr>
        <w:t xml:space="preserve">Начальник відділу з питань </w:t>
      </w:r>
      <w:r w:rsidRPr="00D2674B">
        <w:rPr>
          <w:sz w:val="28"/>
          <w:szCs w:val="28"/>
          <w:lang w:val="uk-UA"/>
        </w:rPr>
        <w:t xml:space="preserve">міжнародного </w:t>
      </w:r>
    </w:p>
    <w:p w14:paraId="3F8E4C68" w14:textId="77777777" w:rsidR="00362509" w:rsidRDefault="00362509" w:rsidP="00362509">
      <w:pPr>
        <w:jc w:val="both"/>
        <w:rPr>
          <w:sz w:val="28"/>
          <w:szCs w:val="28"/>
          <w:lang w:val="uk-UA"/>
        </w:rPr>
      </w:pPr>
      <w:r>
        <w:rPr>
          <w:sz w:val="28"/>
          <w:szCs w:val="28"/>
          <w:lang w:val="uk-UA"/>
        </w:rPr>
        <w:t xml:space="preserve">співробітництва та </w:t>
      </w:r>
      <w:r w:rsidRPr="00D2674B">
        <w:rPr>
          <w:sz w:val="28"/>
          <w:szCs w:val="28"/>
          <w:lang w:val="uk-UA"/>
        </w:rPr>
        <w:t xml:space="preserve">енергоменеджменту, </w:t>
      </w:r>
    </w:p>
    <w:p w14:paraId="3420BEAF" w14:textId="77777777" w:rsidR="00362509" w:rsidRDefault="00362509" w:rsidP="00362509">
      <w:pPr>
        <w:jc w:val="both"/>
        <w:rPr>
          <w:sz w:val="28"/>
          <w:szCs w:val="28"/>
          <w:lang w:val="uk-UA"/>
        </w:rPr>
      </w:pPr>
      <w:r>
        <w:rPr>
          <w:sz w:val="28"/>
          <w:szCs w:val="28"/>
          <w:lang w:val="uk-UA"/>
        </w:rPr>
        <w:t xml:space="preserve">енергоменеджер </w:t>
      </w:r>
      <w:r w:rsidRPr="00BC4460">
        <w:rPr>
          <w:sz w:val="28"/>
          <w:szCs w:val="28"/>
          <w:lang w:val="uk-UA"/>
        </w:rPr>
        <w:t xml:space="preserve">управління інвестицій та </w:t>
      </w:r>
    </w:p>
    <w:p w14:paraId="4E6BAB8C" w14:textId="0E6BC605" w:rsidR="00362509" w:rsidRDefault="00362509" w:rsidP="00362509">
      <w:pPr>
        <w:jc w:val="both"/>
        <w:rPr>
          <w:sz w:val="28"/>
          <w:szCs w:val="28"/>
          <w:lang w:val="uk-UA"/>
        </w:rPr>
      </w:pPr>
      <w:r w:rsidRPr="00BC4460">
        <w:rPr>
          <w:sz w:val="28"/>
          <w:szCs w:val="28"/>
          <w:lang w:val="uk-UA"/>
        </w:rPr>
        <w:t>економічного розвитку</w:t>
      </w:r>
      <w:r>
        <w:rPr>
          <w:sz w:val="28"/>
          <w:szCs w:val="28"/>
          <w:lang w:val="uk-UA"/>
        </w:rPr>
        <w:t xml:space="preserve">                                                                      Юрій ЯЦКІВ </w:t>
      </w:r>
    </w:p>
    <w:p w14:paraId="1B530EBE" w14:textId="32379C6C" w:rsidR="009E43A1" w:rsidRPr="00453EF9" w:rsidRDefault="009E43A1" w:rsidP="009E43A1">
      <w:pPr>
        <w:pStyle w:val="a6"/>
        <w:jc w:val="both"/>
        <w:rPr>
          <w:rFonts w:ascii="Times New Roman" w:hAnsi="Times New Roman" w:cs="Times New Roman"/>
          <w:b/>
          <w:bCs/>
          <w:color w:val="FF0000"/>
          <w:spacing w:val="-12"/>
          <w:sz w:val="28"/>
          <w:szCs w:val="28"/>
          <w:lang w:val="uk-UA" w:bidi="uk-UA"/>
        </w:rPr>
      </w:pPr>
    </w:p>
    <w:p w14:paraId="62FEAA3F" w14:textId="5C6943C6" w:rsidR="00A009E0" w:rsidRPr="009E43A1" w:rsidRDefault="009E43A1" w:rsidP="00E1512D">
      <w:pPr>
        <w:pStyle w:val="a6"/>
        <w:jc w:val="both"/>
        <w:rPr>
          <w:rFonts w:ascii="Times New Roman" w:hAnsi="Times New Roman" w:cs="Times New Roman"/>
          <w:b/>
          <w:bCs/>
          <w:spacing w:val="-12"/>
          <w:sz w:val="28"/>
          <w:szCs w:val="28"/>
          <w:lang w:val="uk-UA" w:bidi="uk-UA"/>
        </w:rPr>
      </w:pPr>
      <w:r w:rsidRPr="009E43A1">
        <w:rPr>
          <w:rFonts w:ascii="Times New Roman" w:hAnsi="Times New Roman" w:cs="Times New Roman"/>
          <w:b/>
          <w:bCs/>
          <w:spacing w:val="-12"/>
          <w:sz w:val="28"/>
          <w:szCs w:val="28"/>
          <w:lang w:val="uk-UA" w:bidi="uk-UA"/>
        </w:rPr>
        <w:tab/>
      </w:r>
      <w:r w:rsidRPr="009E43A1">
        <w:rPr>
          <w:rFonts w:ascii="Times New Roman" w:hAnsi="Times New Roman" w:cs="Times New Roman"/>
          <w:b/>
          <w:bCs/>
          <w:spacing w:val="-12"/>
          <w:sz w:val="28"/>
          <w:szCs w:val="28"/>
          <w:lang w:val="uk-UA" w:bidi="uk-UA"/>
        </w:rPr>
        <w:tab/>
        <w:t xml:space="preserve">    </w:t>
      </w:r>
      <w:r w:rsidR="00934EDC" w:rsidRPr="009E43A1">
        <w:rPr>
          <w:rFonts w:ascii="Times New Roman" w:hAnsi="Times New Roman" w:cs="Times New Roman"/>
          <w:b/>
          <w:bCs/>
          <w:spacing w:val="-12"/>
          <w:sz w:val="28"/>
          <w:szCs w:val="28"/>
          <w:lang w:val="uk-UA" w:bidi="uk-UA"/>
        </w:rPr>
        <w:tab/>
      </w:r>
      <w:r w:rsidR="00934EDC" w:rsidRPr="009E43A1">
        <w:rPr>
          <w:rFonts w:ascii="Times New Roman" w:hAnsi="Times New Roman" w:cs="Times New Roman"/>
          <w:b/>
          <w:bCs/>
          <w:spacing w:val="-12"/>
          <w:sz w:val="28"/>
          <w:szCs w:val="28"/>
          <w:lang w:val="uk-UA" w:bidi="uk-UA"/>
        </w:rPr>
        <w:tab/>
      </w:r>
      <w:r w:rsidR="00934EDC" w:rsidRPr="009E43A1">
        <w:rPr>
          <w:rFonts w:ascii="Times New Roman" w:hAnsi="Times New Roman" w:cs="Times New Roman"/>
          <w:b/>
          <w:bCs/>
          <w:spacing w:val="-12"/>
          <w:sz w:val="28"/>
          <w:szCs w:val="28"/>
          <w:lang w:val="uk-UA" w:bidi="uk-UA"/>
        </w:rPr>
        <w:tab/>
      </w:r>
      <w:r w:rsidR="00934EDC" w:rsidRPr="009E43A1">
        <w:rPr>
          <w:rFonts w:ascii="Times New Roman" w:hAnsi="Times New Roman" w:cs="Times New Roman"/>
          <w:b/>
          <w:bCs/>
          <w:spacing w:val="-12"/>
          <w:sz w:val="28"/>
          <w:szCs w:val="28"/>
          <w:lang w:val="uk-UA" w:bidi="uk-UA"/>
        </w:rPr>
        <w:tab/>
      </w:r>
      <w:r>
        <w:rPr>
          <w:rFonts w:ascii="Times New Roman" w:hAnsi="Times New Roman" w:cs="Times New Roman"/>
          <w:b/>
          <w:bCs/>
          <w:spacing w:val="-12"/>
          <w:sz w:val="28"/>
          <w:szCs w:val="28"/>
          <w:lang w:val="uk-UA" w:bidi="uk-UA"/>
        </w:rPr>
        <w:t xml:space="preserve">          </w:t>
      </w:r>
    </w:p>
    <w:sectPr w:rsidR="00A009E0" w:rsidRPr="009E43A1" w:rsidSect="004F78AE">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8812A" w14:textId="77777777" w:rsidR="00E65F5E" w:rsidRDefault="00E65F5E">
      <w:r>
        <w:separator/>
      </w:r>
    </w:p>
  </w:endnote>
  <w:endnote w:type="continuationSeparator" w:id="0">
    <w:p w14:paraId="64BF7415" w14:textId="77777777" w:rsidR="00E65F5E" w:rsidRDefault="00E6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font>
  <w:font w:name="Noto Sans Mono CJK SC">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4F455" w14:textId="77777777" w:rsidR="00E65F5E" w:rsidRDefault="00E65F5E">
      <w:r>
        <w:separator/>
      </w:r>
    </w:p>
  </w:footnote>
  <w:footnote w:type="continuationSeparator" w:id="0">
    <w:p w14:paraId="43BF04B0" w14:textId="77777777" w:rsidR="00E65F5E" w:rsidRDefault="00E65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72608"/>
      <w:docPartObj>
        <w:docPartGallery w:val="Page Numbers (Top of Page)"/>
        <w:docPartUnique/>
      </w:docPartObj>
    </w:sdtPr>
    <w:sdtEndPr/>
    <w:sdtContent>
      <w:p w14:paraId="3B817DE2" w14:textId="77777777" w:rsidR="00586EC1" w:rsidRDefault="00586EC1">
        <w:pPr>
          <w:pStyle w:val="ab"/>
          <w:jc w:val="center"/>
        </w:pPr>
        <w:r>
          <w:fldChar w:fldCharType="begin"/>
        </w:r>
        <w:r>
          <w:instrText>PAGE   \* MERGEFORMAT</w:instrText>
        </w:r>
        <w:r>
          <w:fldChar w:fldCharType="separate"/>
        </w:r>
        <w:r w:rsidR="00D55AD9" w:rsidRPr="00D55AD9">
          <w:rPr>
            <w:noProof/>
            <w:lang w:val="uk-UA"/>
          </w:rPr>
          <w:t>14</w:t>
        </w:r>
        <w:r>
          <w:fldChar w:fldCharType="end"/>
        </w:r>
      </w:p>
    </w:sdtContent>
  </w:sdt>
  <w:p w14:paraId="71C70A9C" w14:textId="77777777" w:rsidR="00586EC1" w:rsidRDefault="00586EC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DEE7D94"/>
    <w:lvl w:ilvl="0">
      <w:numFmt w:val="bullet"/>
      <w:lvlText w:val="*"/>
      <w:lvlJc w:val="left"/>
      <w:pPr>
        <w:ind w:left="0" w:firstLine="0"/>
      </w:pPr>
    </w:lvl>
  </w:abstractNum>
  <w:abstractNum w:abstractNumId="1" w15:restartNumberingAfterBreak="0">
    <w:nsid w:val="0B7F2CAD"/>
    <w:multiLevelType w:val="hybridMultilevel"/>
    <w:tmpl w:val="67906AC0"/>
    <w:lvl w:ilvl="0" w:tplc="E736A204">
      <w:start w:val="1"/>
      <w:numFmt w:val="decimal"/>
      <w:lvlText w:val="%1."/>
      <w:lvlJc w:val="left"/>
      <w:pPr>
        <w:tabs>
          <w:tab w:val="num" w:pos="3903"/>
        </w:tabs>
        <w:ind w:left="3903"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F5D28A7"/>
    <w:multiLevelType w:val="hybridMultilevel"/>
    <w:tmpl w:val="A98499A6"/>
    <w:lvl w:ilvl="0" w:tplc="DF520320">
      <w:numFmt w:val="bullet"/>
      <w:lvlText w:val="•"/>
      <w:lvlJc w:val="left"/>
      <w:pPr>
        <w:ind w:left="0" w:firstLine="0"/>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3" w15:restartNumberingAfterBreak="0">
    <w:nsid w:val="15465F30"/>
    <w:multiLevelType w:val="hybridMultilevel"/>
    <w:tmpl w:val="B0BCC482"/>
    <w:lvl w:ilvl="0" w:tplc="AC62C608">
      <w:start w:val="5"/>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4" w15:restartNumberingAfterBreak="0">
    <w:nsid w:val="26E30FDF"/>
    <w:multiLevelType w:val="hybridMultilevel"/>
    <w:tmpl w:val="1FBE320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36DD7AAC"/>
    <w:multiLevelType w:val="hybridMultilevel"/>
    <w:tmpl w:val="B3DCAA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A84068C"/>
    <w:multiLevelType w:val="hybridMultilevel"/>
    <w:tmpl w:val="0BBEF104"/>
    <w:lvl w:ilvl="0" w:tplc="4F2CA2A4">
      <w:numFmt w:val="bullet"/>
      <w:lvlText w:val="•"/>
      <w:lvlJc w:val="left"/>
      <w:pPr>
        <w:ind w:left="531" w:hanging="588"/>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7" w15:restartNumberingAfterBreak="0">
    <w:nsid w:val="3D286152"/>
    <w:multiLevelType w:val="hybridMultilevel"/>
    <w:tmpl w:val="BDDEA0F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4CC85825"/>
    <w:multiLevelType w:val="hybridMultilevel"/>
    <w:tmpl w:val="8F983384"/>
    <w:lvl w:ilvl="0" w:tplc="E1A2AD30">
      <w:numFmt w:val="bullet"/>
      <w:lvlText w:val="•"/>
      <w:lvlJc w:val="left"/>
      <w:pPr>
        <w:ind w:left="531" w:hanging="588"/>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9" w15:restartNumberingAfterBreak="0">
    <w:nsid w:val="5A246A4D"/>
    <w:multiLevelType w:val="hybridMultilevel"/>
    <w:tmpl w:val="C7D6F7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C515513"/>
    <w:multiLevelType w:val="multilevel"/>
    <w:tmpl w:val="DD745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4F719F"/>
    <w:multiLevelType w:val="hybridMultilevel"/>
    <w:tmpl w:val="665081F2"/>
    <w:lvl w:ilvl="0" w:tplc="B5C26AB2">
      <w:numFmt w:val="bullet"/>
      <w:lvlText w:val="•"/>
      <w:lvlJc w:val="left"/>
      <w:pPr>
        <w:ind w:left="0" w:firstLine="227"/>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12" w15:restartNumberingAfterBreak="0">
    <w:nsid w:val="692C191B"/>
    <w:multiLevelType w:val="hybridMultilevel"/>
    <w:tmpl w:val="04A6AE54"/>
    <w:lvl w:ilvl="0" w:tplc="37F4F47C">
      <w:start w:val="1"/>
      <w:numFmt w:val="decimal"/>
      <w:lvlText w:val="%1."/>
      <w:lvlJc w:val="left"/>
      <w:pPr>
        <w:ind w:left="677" w:hanging="360"/>
      </w:pPr>
      <w:rPr>
        <w:rFonts w:ascii="Times New Roman" w:hAnsi="Times New Roman" w:cs="Times New Roman"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3" w15:restartNumberingAfterBreak="0">
    <w:nsid w:val="77140AC2"/>
    <w:multiLevelType w:val="hybridMultilevel"/>
    <w:tmpl w:val="735C0788"/>
    <w:lvl w:ilvl="0" w:tplc="B296D170">
      <w:start w:val="4"/>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4" w15:restartNumberingAfterBreak="0">
    <w:nsid w:val="7AA31E69"/>
    <w:multiLevelType w:val="hybridMultilevel"/>
    <w:tmpl w:val="BBEAA4B0"/>
    <w:lvl w:ilvl="0" w:tplc="B20E680A">
      <w:start w:val="3"/>
      <w:numFmt w:val="bullet"/>
      <w:lvlText w:val="-"/>
      <w:lvlJc w:val="left"/>
      <w:pPr>
        <w:ind w:left="927" w:hanging="360"/>
      </w:pPr>
      <w:rPr>
        <w:rFonts w:ascii="Times New Roman" w:eastAsia="Calibri"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B762230"/>
    <w:multiLevelType w:val="hybridMultilevel"/>
    <w:tmpl w:val="726293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3">
    <w:abstractNumId w:val="14"/>
  </w:num>
  <w:num w:numId="4">
    <w:abstractNumId w:val="13"/>
  </w:num>
  <w:num w:numId="5">
    <w:abstractNumId w:val="3"/>
  </w:num>
  <w:num w:numId="6">
    <w:abstractNumId w:val="12"/>
  </w:num>
  <w:num w:numId="7">
    <w:abstractNumId w:val="5"/>
  </w:num>
  <w:num w:numId="8">
    <w:abstractNumId w:val="10"/>
  </w:num>
  <w:num w:numId="9">
    <w:abstractNumId w:val="7"/>
  </w:num>
  <w:num w:numId="10">
    <w:abstractNumId w:val="4"/>
  </w:num>
  <w:num w:numId="11">
    <w:abstractNumId w:val="9"/>
  </w:num>
  <w:num w:numId="12">
    <w:abstractNumId w:val="15"/>
  </w:num>
  <w:num w:numId="13">
    <w:abstractNumId w:val="6"/>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95"/>
    <w:rsid w:val="00014402"/>
    <w:rsid w:val="0003708D"/>
    <w:rsid w:val="00040DF5"/>
    <w:rsid w:val="00056554"/>
    <w:rsid w:val="00057EB5"/>
    <w:rsid w:val="000858F2"/>
    <w:rsid w:val="000D71C4"/>
    <w:rsid w:val="000E063F"/>
    <w:rsid w:val="000E658B"/>
    <w:rsid w:val="000F4EEA"/>
    <w:rsid w:val="00120C42"/>
    <w:rsid w:val="00123A3B"/>
    <w:rsid w:val="00126135"/>
    <w:rsid w:val="001416D6"/>
    <w:rsid w:val="00172239"/>
    <w:rsid w:val="001A50A9"/>
    <w:rsid w:val="001F2641"/>
    <w:rsid w:val="00205D6E"/>
    <w:rsid w:val="002140F0"/>
    <w:rsid w:val="002217E4"/>
    <w:rsid w:val="00237453"/>
    <w:rsid w:val="00244638"/>
    <w:rsid w:val="00256374"/>
    <w:rsid w:val="00287A2A"/>
    <w:rsid w:val="002939F7"/>
    <w:rsid w:val="002A3FAD"/>
    <w:rsid w:val="002A41AF"/>
    <w:rsid w:val="002B7498"/>
    <w:rsid w:val="002C286A"/>
    <w:rsid w:val="002D705F"/>
    <w:rsid w:val="002E1CA1"/>
    <w:rsid w:val="00306913"/>
    <w:rsid w:val="00310BFF"/>
    <w:rsid w:val="00322CCF"/>
    <w:rsid w:val="003337F0"/>
    <w:rsid w:val="00362509"/>
    <w:rsid w:val="003872D8"/>
    <w:rsid w:val="00397831"/>
    <w:rsid w:val="003B6300"/>
    <w:rsid w:val="003C076D"/>
    <w:rsid w:val="003C544B"/>
    <w:rsid w:val="003D706F"/>
    <w:rsid w:val="003E1525"/>
    <w:rsid w:val="003E4595"/>
    <w:rsid w:val="003F120A"/>
    <w:rsid w:val="004400AE"/>
    <w:rsid w:val="00453EF9"/>
    <w:rsid w:val="0045553D"/>
    <w:rsid w:val="00480522"/>
    <w:rsid w:val="004818BA"/>
    <w:rsid w:val="00486598"/>
    <w:rsid w:val="004A1761"/>
    <w:rsid w:val="004A7F10"/>
    <w:rsid w:val="004D673E"/>
    <w:rsid w:val="004F78AE"/>
    <w:rsid w:val="00502605"/>
    <w:rsid w:val="00524BBC"/>
    <w:rsid w:val="0053314F"/>
    <w:rsid w:val="00537E39"/>
    <w:rsid w:val="005436F8"/>
    <w:rsid w:val="005566DF"/>
    <w:rsid w:val="005678D8"/>
    <w:rsid w:val="00571188"/>
    <w:rsid w:val="00586EC1"/>
    <w:rsid w:val="0059624B"/>
    <w:rsid w:val="005A0418"/>
    <w:rsid w:val="005A4EC4"/>
    <w:rsid w:val="005C2375"/>
    <w:rsid w:val="005E1561"/>
    <w:rsid w:val="005F43F7"/>
    <w:rsid w:val="006022E1"/>
    <w:rsid w:val="006064AC"/>
    <w:rsid w:val="00615069"/>
    <w:rsid w:val="00625A0D"/>
    <w:rsid w:val="00672FD3"/>
    <w:rsid w:val="00697ED3"/>
    <w:rsid w:val="006C2560"/>
    <w:rsid w:val="006C3BEB"/>
    <w:rsid w:val="006D7ED4"/>
    <w:rsid w:val="00726CCB"/>
    <w:rsid w:val="00735662"/>
    <w:rsid w:val="00743D46"/>
    <w:rsid w:val="00746913"/>
    <w:rsid w:val="007718CE"/>
    <w:rsid w:val="00775C80"/>
    <w:rsid w:val="007764E4"/>
    <w:rsid w:val="0078213E"/>
    <w:rsid w:val="007E13A2"/>
    <w:rsid w:val="008017C0"/>
    <w:rsid w:val="00802737"/>
    <w:rsid w:val="0082586B"/>
    <w:rsid w:val="00853076"/>
    <w:rsid w:val="00891848"/>
    <w:rsid w:val="00891C81"/>
    <w:rsid w:val="008A2833"/>
    <w:rsid w:val="008A47FD"/>
    <w:rsid w:val="008B0C93"/>
    <w:rsid w:val="008C01A6"/>
    <w:rsid w:val="008C6AC3"/>
    <w:rsid w:val="00931092"/>
    <w:rsid w:val="00934EDC"/>
    <w:rsid w:val="0096606F"/>
    <w:rsid w:val="0097441A"/>
    <w:rsid w:val="00977B36"/>
    <w:rsid w:val="009A11E2"/>
    <w:rsid w:val="009D472D"/>
    <w:rsid w:val="009E43A1"/>
    <w:rsid w:val="009E43E5"/>
    <w:rsid w:val="00A009E0"/>
    <w:rsid w:val="00A02472"/>
    <w:rsid w:val="00A15A49"/>
    <w:rsid w:val="00A30330"/>
    <w:rsid w:val="00A312A4"/>
    <w:rsid w:val="00A45B8E"/>
    <w:rsid w:val="00A5155A"/>
    <w:rsid w:val="00A62802"/>
    <w:rsid w:val="00A6607D"/>
    <w:rsid w:val="00A751E4"/>
    <w:rsid w:val="00A81FDD"/>
    <w:rsid w:val="00AA2A54"/>
    <w:rsid w:val="00AA6A08"/>
    <w:rsid w:val="00AC145D"/>
    <w:rsid w:val="00B224ED"/>
    <w:rsid w:val="00B420D9"/>
    <w:rsid w:val="00B5655C"/>
    <w:rsid w:val="00B57A7F"/>
    <w:rsid w:val="00B66C8C"/>
    <w:rsid w:val="00B81464"/>
    <w:rsid w:val="00B8352B"/>
    <w:rsid w:val="00BA68C1"/>
    <w:rsid w:val="00BB55F7"/>
    <w:rsid w:val="00BE0768"/>
    <w:rsid w:val="00BE1022"/>
    <w:rsid w:val="00C015B7"/>
    <w:rsid w:val="00C01CB7"/>
    <w:rsid w:val="00C12DE0"/>
    <w:rsid w:val="00C30E18"/>
    <w:rsid w:val="00C46EDC"/>
    <w:rsid w:val="00C47526"/>
    <w:rsid w:val="00C547E8"/>
    <w:rsid w:val="00CC248D"/>
    <w:rsid w:val="00CC40A1"/>
    <w:rsid w:val="00CD0011"/>
    <w:rsid w:val="00CE118A"/>
    <w:rsid w:val="00CF0995"/>
    <w:rsid w:val="00D01AA4"/>
    <w:rsid w:val="00D32B54"/>
    <w:rsid w:val="00D5435E"/>
    <w:rsid w:val="00D55AD9"/>
    <w:rsid w:val="00D624A7"/>
    <w:rsid w:val="00DD483F"/>
    <w:rsid w:val="00DF35B5"/>
    <w:rsid w:val="00E05748"/>
    <w:rsid w:val="00E14BA2"/>
    <w:rsid w:val="00E1512D"/>
    <w:rsid w:val="00E65F5E"/>
    <w:rsid w:val="00E8087A"/>
    <w:rsid w:val="00EA6B03"/>
    <w:rsid w:val="00EB7EB9"/>
    <w:rsid w:val="00EC0D2F"/>
    <w:rsid w:val="00ED381E"/>
    <w:rsid w:val="00ED4E92"/>
    <w:rsid w:val="00EE4B7E"/>
    <w:rsid w:val="00F1059A"/>
    <w:rsid w:val="00F24247"/>
    <w:rsid w:val="00F3210A"/>
    <w:rsid w:val="00F34173"/>
    <w:rsid w:val="00F41B10"/>
    <w:rsid w:val="00F62A00"/>
    <w:rsid w:val="00F74375"/>
    <w:rsid w:val="00FA7B24"/>
    <w:rsid w:val="00FB1BA0"/>
    <w:rsid w:val="00FB3136"/>
    <w:rsid w:val="00FE0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565D"/>
  <w15:docId w15:val="{8167D968-5F04-4EA0-A03B-FA318414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63F"/>
    <w:pPr>
      <w:widowControl w:val="0"/>
      <w:suppressAutoHyphens/>
      <w:spacing w:after="0" w:line="240" w:lineRule="auto"/>
    </w:pPr>
    <w:rPr>
      <w:rFonts w:ascii="Times New Roman" w:eastAsia="Calibri" w:hAnsi="Times New Roman" w:cs="Mangal"/>
      <w:kern w:val="2"/>
      <w:sz w:val="24"/>
      <w:szCs w:val="24"/>
      <w:lang w:val="ru-RU" w:eastAsia="hi-IN" w:bidi="hi-IN"/>
    </w:rPr>
  </w:style>
  <w:style w:type="paragraph" w:styleId="1">
    <w:name w:val="heading 1"/>
    <w:basedOn w:val="a"/>
    <w:next w:val="a"/>
    <w:link w:val="10"/>
    <w:uiPriority w:val="9"/>
    <w:qFormat/>
    <w:rsid w:val="00A15A49"/>
    <w:pPr>
      <w:keepNext/>
      <w:keepLines/>
      <w:spacing w:before="240"/>
      <w:outlineLvl w:val="0"/>
    </w:pPr>
    <w:rPr>
      <w:rFonts w:asciiTheme="majorHAnsi" w:eastAsiaTheme="majorEastAsia" w:hAnsiTheme="majorHAnsi"/>
      <w:color w:val="2E74B5" w:themeColor="accent1" w:themeShade="BF"/>
      <w:sz w:val="32"/>
      <w:szCs w:val="29"/>
    </w:rPr>
  </w:style>
  <w:style w:type="paragraph" w:styleId="2">
    <w:name w:val="heading 2"/>
    <w:basedOn w:val="a"/>
    <w:next w:val="a"/>
    <w:link w:val="20"/>
    <w:qFormat/>
    <w:rsid w:val="00BE1022"/>
    <w:pPr>
      <w:keepNext/>
      <w:widowControl/>
      <w:suppressAutoHyphens w:val="0"/>
      <w:jc w:val="center"/>
      <w:outlineLvl w:val="1"/>
    </w:pPr>
    <w:rPr>
      <w:rFonts w:eastAsia="Times New Roman" w:cs="Times New Roman"/>
      <w:b/>
      <w:kern w:val="0"/>
      <w:szCs w:val="20"/>
      <w:lang w:val="uk-UA" w:eastAsia="ru-RU" w:bidi="ar-SA"/>
    </w:rPr>
  </w:style>
  <w:style w:type="paragraph" w:styleId="5">
    <w:name w:val="heading 5"/>
    <w:basedOn w:val="a"/>
    <w:next w:val="a"/>
    <w:link w:val="50"/>
    <w:uiPriority w:val="9"/>
    <w:semiHidden/>
    <w:unhideWhenUsed/>
    <w:qFormat/>
    <w:rsid w:val="00D624A7"/>
    <w:pPr>
      <w:keepNext/>
      <w:keepLines/>
      <w:spacing w:before="40"/>
      <w:outlineLvl w:val="4"/>
    </w:pPr>
    <w:rPr>
      <w:rFonts w:asciiTheme="majorHAnsi" w:eastAsiaTheme="majorEastAsia" w:hAnsiTheme="majorHAnsi"/>
      <w:color w:val="2E74B5" w:themeColor="accent1" w:themeShade="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E063F"/>
    <w:pPr>
      <w:widowControl/>
      <w:suppressAutoHyphens w:val="0"/>
      <w:spacing w:after="120"/>
    </w:pPr>
    <w:rPr>
      <w:rFonts w:eastAsia="Times New Roman" w:cs="Times New Roman"/>
      <w:kern w:val="0"/>
      <w:sz w:val="20"/>
      <w:szCs w:val="20"/>
      <w:lang w:val="uk-UA" w:eastAsia="ru-RU" w:bidi="ar-SA"/>
    </w:rPr>
  </w:style>
  <w:style w:type="character" w:customStyle="1" w:styleId="a4">
    <w:name w:val="Основний текст Знак"/>
    <w:basedOn w:val="a0"/>
    <w:link w:val="a3"/>
    <w:uiPriority w:val="99"/>
    <w:semiHidden/>
    <w:rsid w:val="000E063F"/>
    <w:rPr>
      <w:rFonts w:ascii="Times New Roman" w:eastAsia="Times New Roman" w:hAnsi="Times New Roman" w:cs="Times New Roman"/>
      <w:sz w:val="20"/>
      <w:szCs w:val="20"/>
      <w:lang w:eastAsia="ru-RU"/>
    </w:rPr>
  </w:style>
  <w:style w:type="character" w:customStyle="1" w:styleId="a5">
    <w:name w:val="Без інтервалів Знак"/>
    <w:link w:val="a6"/>
    <w:locked/>
    <w:rsid w:val="000E063F"/>
    <w:rPr>
      <w:lang w:val="ru-RU"/>
    </w:rPr>
  </w:style>
  <w:style w:type="paragraph" w:styleId="a6">
    <w:name w:val="No Spacing"/>
    <w:link w:val="a5"/>
    <w:uiPriority w:val="1"/>
    <w:qFormat/>
    <w:rsid w:val="000E063F"/>
    <w:pPr>
      <w:spacing w:after="0" w:line="240" w:lineRule="auto"/>
    </w:pPr>
    <w:rPr>
      <w:lang w:val="ru-RU"/>
    </w:rPr>
  </w:style>
  <w:style w:type="paragraph" w:styleId="a7">
    <w:name w:val="List Paragraph"/>
    <w:basedOn w:val="a"/>
    <w:uiPriority w:val="34"/>
    <w:qFormat/>
    <w:rsid w:val="000E063F"/>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styleId="a8">
    <w:name w:val="Balloon Text"/>
    <w:basedOn w:val="a"/>
    <w:link w:val="a9"/>
    <w:uiPriority w:val="99"/>
    <w:semiHidden/>
    <w:unhideWhenUsed/>
    <w:rsid w:val="008A2833"/>
    <w:rPr>
      <w:rFonts w:ascii="Segoe UI" w:hAnsi="Segoe UI"/>
      <w:sz w:val="18"/>
      <w:szCs w:val="16"/>
    </w:rPr>
  </w:style>
  <w:style w:type="character" w:customStyle="1" w:styleId="a9">
    <w:name w:val="Текст у виносці Знак"/>
    <w:basedOn w:val="a0"/>
    <w:link w:val="a8"/>
    <w:uiPriority w:val="99"/>
    <w:semiHidden/>
    <w:rsid w:val="008A2833"/>
    <w:rPr>
      <w:rFonts w:ascii="Segoe UI" w:eastAsia="Calibri" w:hAnsi="Segoe UI" w:cs="Mangal"/>
      <w:kern w:val="2"/>
      <w:sz w:val="18"/>
      <w:szCs w:val="16"/>
      <w:lang w:val="ru-RU" w:eastAsia="hi-IN" w:bidi="hi-IN"/>
    </w:rPr>
  </w:style>
  <w:style w:type="character" w:customStyle="1" w:styleId="aa">
    <w:name w:val="Основний текст_"/>
    <w:basedOn w:val="a0"/>
    <w:link w:val="11"/>
    <w:rsid w:val="00172239"/>
    <w:rPr>
      <w:rFonts w:ascii="Times New Roman" w:eastAsia="Times New Roman" w:hAnsi="Times New Roman" w:cs="Times New Roman"/>
      <w:sz w:val="19"/>
      <w:szCs w:val="19"/>
    </w:rPr>
  </w:style>
  <w:style w:type="paragraph" w:customStyle="1" w:styleId="11">
    <w:name w:val="Основний текст1"/>
    <w:basedOn w:val="a"/>
    <w:link w:val="aa"/>
    <w:rsid w:val="00172239"/>
    <w:pPr>
      <w:suppressAutoHyphens w:val="0"/>
      <w:spacing w:after="200"/>
      <w:ind w:firstLine="400"/>
    </w:pPr>
    <w:rPr>
      <w:rFonts w:eastAsia="Times New Roman" w:cs="Times New Roman"/>
      <w:kern w:val="0"/>
      <w:sz w:val="19"/>
      <w:szCs w:val="19"/>
      <w:lang w:val="uk-UA" w:eastAsia="en-US" w:bidi="ar-SA"/>
    </w:rPr>
  </w:style>
  <w:style w:type="paragraph" w:styleId="ab">
    <w:name w:val="header"/>
    <w:basedOn w:val="a"/>
    <w:link w:val="ac"/>
    <w:uiPriority w:val="99"/>
    <w:unhideWhenUsed/>
    <w:rsid w:val="005F43F7"/>
    <w:pPr>
      <w:widowControl/>
      <w:tabs>
        <w:tab w:val="center" w:pos="4819"/>
        <w:tab w:val="right" w:pos="9639"/>
      </w:tabs>
      <w:suppressAutoHyphens w:val="0"/>
    </w:pPr>
    <w:rPr>
      <w:rFonts w:ascii="Calibri" w:hAnsi="Calibri" w:cs="Times New Roman"/>
      <w:kern w:val="0"/>
      <w:sz w:val="22"/>
      <w:szCs w:val="22"/>
      <w:lang w:val="en-US" w:eastAsia="en-US" w:bidi="ar-SA"/>
    </w:rPr>
  </w:style>
  <w:style w:type="character" w:customStyle="1" w:styleId="ac">
    <w:name w:val="Верхній колонтитул Знак"/>
    <w:basedOn w:val="a0"/>
    <w:link w:val="ab"/>
    <w:uiPriority w:val="99"/>
    <w:rsid w:val="005F43F7"/>
    <w:rPr>
      <w:rFonts w:ascii="Calibri" w:eastAsia="Calibri" w:hAnsi="Calibri" w:cs="Times New Roman"/>
      <w:lang w:val="en-US"/>
    </w:rPr>
  </w:style>
  <w:style w:type="character" w:styleId="ad">
    <w:name w:val="Strong"/>
    <w:basedOn w:val="a0"/>
    <w:uiPriority w:val="22"/>
    <w:qFormat/>
    <w:rsid w:val="0053314F"/>
    <w:rPr>
      <w:b/>
      <w:bCs/>
    </w:rPr>
  </w:style>
  <w:style w:type="character" w:customStyle="1" w:styleId="20">
    <w:name w:val="Заголовок 2 Знак"/>
    <w:basedOn w:val="a0"/>
    <w:link w:val="2"/>
    <w:rsid w:val="00BE1022"/>
    <w:rPr>
      <w:rFonts w:ascii="Times New Roman" w:eastAsia="Times New Roman" w:hAnsi="Times New Roman" w:cs="Times New Roman"/>
      <w:b/>
      <w:sz w:val="24"/>
      <w:szCs w:val="20"/>
      <w:lang w:eastAsia="ru-RU"/>
    </w:rPr>
  </w:style>
  <w:style w:type="paragraph" w:customStyle="1" w:styleId="PreformattedText">
    <w:name w:val="Preformatted Text"/>
    <w:basedOn w:val="a"/>
    <w:qFormat/>
    <w:rsid w:val="003E4595"/>
    <w:rPr>
      <w:rFonts w:ascii="Liberation Mono" w:eastAsia="Noto Sans Mono CJK SC" w:hAnsi="Liberation Mono" w:cs="Liberation Mono"/>
      <w:kern w:val="0"/>
      <w:sz w:val="20"/>
      <w:szCs w:val="20"/>
      <w:lang w:val="en-US" w:eastAsia="zh-CN"/>
    </w:rPr>
  </w:style>
  <w:style w:type="table" w:styleId="ae">
    <w:name w:val="Table Grid"/>
    <w:basedOn w:val="a1"/>
    <w:uiPriority w:val="39"/>
    <w:rsid w:val="000D71C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D624A7"/>
    <w:rPr>
      <w:rFonts w:asciiTheme="majorHAnsi" w:eastAsiaTheme="majorEastAsia" w:hAnsiTheme="majorHAnsi" w:cs="Mangal"/>
      <w:color w:val="2E74B5" w:themeColor="accent1" w:themeShade="BF"/>
      <w:kern w:val="2"/>
      <w:sz w:val="24"/>
      <w:szCs w:val="21"/>
      <w:lang w:val="ru-RU" w:eastAsia="hi-IN" w:bidi="hi-IN"/>
    </w:rPr>
  </w:style>
  <w:style w:type="character" w:customStyle="1" w:styleId="10">
    <w:name w:val="Заголовок 1 Знак"/>
    <w:basedOn w:val="a0"/>
    <w:link w:val="1"/>
    <w:uiPriority w:val="9"/>
    <w:rsid w:val="00A15A49"/>
    <w:rPr>
      <w:rFonts w:asciiTheme="majorHAnsi" w:eastAsiaTheme="majorEastAsia" w:hAnsiTheme="majorHAnsi" w:cs="Mangal"/>
      <w:color w:val="2E74B5" w:themeColor="accent1" w:themeShade="BF"/>
      <w:kern w:val="2"/>
      <w:sz w:val="32"/>
      <w:szCs w:val="29"/>
      <w:lang w:val="ru-RU" w:eastAsia="hi-IN" w:bidi="hi-IN"/>
    </w:rPr>
  </w:style>
  <w:style w:type="character" w:styleId="af">
    <w:name w:val="Hyperlink"/>
    <w:basedOn w:val="a0"/>
    <w:uiPriority w:val="99"/>
    <w:semiHidden/>
    <w:unhideWhenUsed/>
    <w:rsid w:val="00A15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5515">
      <w:bodyDiv w:val="1"/>
      <w:marLeft w:val="0"/>
      <w:marRight w:val="0"/>
      <w:marTop w:val="0"/>
      <w:marBottom w:val="0"/>
      <w:divBdr>
        <w:top w:val="none" w:sz="0" w:space="0" w:color="auto"/>
        <w:left w:val="none" w:sz="0" w:space="0" w:color="auto"/>
        <w:bottom w:val="none" w:sz="0" w:space="0" w:color="auto"/>
        <w:right w:val="none" w:sz="0" w:space="0" w:color="auto"/>
      </w:divBdr>
    </w:div>
    <w:div w:id="1003124928">
      <w:bodyDiv w:val="1"/>
      <w:marLeft w:val="0"/>
      <w:marRight w:val="0"/>
      <w:marTop w:val="0"/>
      <w:marBottom w:val="0"/>
      <w:divBdr>
        <w:top w:val="none" w:sz="0" w:space="0" w:color="auto"/>
        <w:left w:val="none" w:sz="0" w:space="0" w:color="auto"/>
        <w:bottom w:val="none" w:sz="0" w:space="0" w:color="auto"/>
        <w:right w:val="none" w:sz="0" w:space="0" w:color="auto"/>
      </w:divBdr>
    </w:div>
    <w:div w:id="16503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A73A0-A371-47F7-B693-1FC33535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14</Pages>
  <Words>21929</Words>
  <Characters>12501</Characters>
  <Application>Microsoft Office Word</Application>
  <DocSecurity>0</DocSecurity>
  <Lines>104</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DMR</Company>
  <LinksUpToDate>false</LinksUpToDate>
  <CharactersWithSpaces>34362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106User</cp:lastModifiedBy>
  <cp:revision>13</cp:revision>
  <cp:lastPrinted>2025-12-15T13:16:00Z</cp:lastPrinted>
  <dcterms:created xsi:type="dcterms:W3CDTF">2025-12-11T15:18:00Z</dcterms:created>
  <dcterms:modified xsi:type="dcterms:W3CDTF">2025-12-24T10:50:00Z</dcterms:modified>
</cp:coreProperties>
</file>