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DDE" w:rsidRPr="00CE6AAC" w:rsidRDefault="00531DDE" w:rsidP="00531DDE">
      <w:pPr>
        <w:spacing w:before="0" w:after="0" w:line="240" w:lineRule="auto"/>
        <w:jc w:val="right"/>
        <w:rPr>
          <w:rFonts w:ascii="Times New Roman" w:hAnsi="Times New Roman" w:cs="Times New Roman"/>
          <w:sz w:val="28"/>
          <w:szCs w:val="28"/>
        </w:rPr>
      </w:pPr>
      <w:r w:rsidRPr="00CE6AAC">
        <w:rPr>
          <w:rFonts w:ascii="Times New Roman" w:hAnsi="Times New Roman" w:cs="Times New Roman"/>
          <w:sz w:val="28"/>
          <w:szCs w:val="28"/>
        </w:rPr>
        <w:t xml:space="preserve">Додаток </w:t>
      </w:r>
    </w:p>
    <w:p w:rsidR="00531DDE" w:rsidRPr="00CE6AAC" w:rsidRDefault="00531DDE" w:rsidP="00531DDE">
      <w:pPr>
        <w:spacing w:before="0" w:after="0" w:line="240" w:lineRule="auto"/>
        <w:jc w:val="right"/>
        <w:rPr>
          <w:rFonts w:ascii="Times New Roman" w:hAnsi="Times New Roman" w:cs="Times New Roman"/>
          <w:sz w:val="28"/>
          <w:szCs w:val="28"/>
        </w:rPr>
      </w:pPr>
      <w:r w:rsidRPr="00CE6AAC">
        <w:rPr>
          <w:rFonts w:ascii="Times New Roman" w:hAnsi="Times New Roman" w:cs="Times New Roman"/>
          <w:sz w:val="28"/>
          <w:szCs w:val="28"/>
        </w:rPr>
        <w:t xml:space="preserve">до рішення виконавчого комітету </w:t>
      </w:r>
    </w:p>
    <w:p w:rsidR="00531DDE" w:rsidRPr="00CE6AAC" w:rsidRDefault="00531DDE" w:rsidP="00531DDE">
      <w:pPr>
        <w:spacing w:before="0" w:after="0" w:line="240" w:lineRule="auto"/>
        <w:jc w:val="right"/>
        <w:rPr>
          <w:rFonts w:ascii="Times New Roman" w:hAnsi="Times New Roman" w:cs="Times New Roman"/>
          <w:sz w:val="28"/>
          <w:szCs w:val="28"/>
        </w:rPr>
      </w:pPr>
      <w:r w:rsidRPr="00CE6AAC">
        <w:rPr>
          <w:rFonts w:ascii="Times New Roman" w:hAnsi="Times New Roman" w:cs="Times New Roman"/>
          <w:sz w:val="28"/>
          <w:szCs w:val="28"/>
        </w:rPr>
        <w:t xml:space="preserve">Дрогобицької міської ради </w:t>
      </w:r>
    </w:p>
    <w:p w:rsidR="00531DDE" w:rsidRPr="00CE6AAC" w:rsidRDefault="00531DDE" w:rsidP="00531DDE">
      <w:pPr>
        <w:spacing w:before="0" w:after="0" w:line="240" w:lineRule="auto"/>
        <w:jc w:val="right"/>
        <w:rPr>
          <w:rFonts w:ascii="Times New Roman" w:hAnsi="Times New Roman" w:cs="Times New Roman"/>
          <w:sz w:val="28"/>
          <w:szCs w:val="28"/>
        </w:rPr>
      </w:pPr>
      <w:r w:rsidRPr="00CE6AAC">
        <w:rPr>
          <w:rFonts w:ascii="Times New Roman" w:hAnsi="Times New Roman" w:cs="Times New Roman"/>
          <w:sz w:val="28"/>
          <w:szCs w:val="28"/>
        </w:rPr>
        <w:t>від ____________ №_____</w:t>
      </w:r>
    </w:p>
    <w:p w:rsidR="00531DDE" w:rsidRPr="00531DDE" w:rsidRDefault="00531DDE" w:rsidP="00531DDE">
      <w:pPr>
        <w:jc w:val="right"/>
      </w:pPr>
    </w:p>
    <w:p w:rsidR="009C486D" w:rsidRPr="00531DDE" w:rsidRDefault="00D55960">
      <w:pPr>
        <w:pStyle w:val="a8"/>
        <w:jc w:val="center"/>
        <w:rPr>
          <w:sz w:val="28"/>
          <w:szCs w:val="28"/>
        </w:rPr>
      </w:pPr>
      <w:r w:rsidRPr="00531DDE">
        <w:rPr>
          <w:sz w:val="28"/>
          <w:szCs w:val="28"/>
        </w:rPr>
        <w:t>Звіт</w:t>
      </w:r>
    </w:p>
    <w:p w:rsidR="009C486D" w:rsidRPr="00531DDE" w:rsidRDefault="00D55960">
      <w:pPr>
        <w:pStyle w:val="a8"/>
        <w:jc w:val="center"/>
        <w:rPr>
          <w:sz w:val="28"/>
          <w:szCs w:val="28"/>
        </w:rPr>
      </w:pPr>
      <w:r w:rsidRPr="00531DDE">
        <w:rPr>
          <w:sz w:val="28"/>
          <w:szCs w:val="28"/>
        </w:rPr>
        <w:t xml:space="preserve"> про оцінку (розрахунок) </w:t>
      </w:r>
    </w:p>
    <w:p w:rsidR="009C486D" w:rsidRPr="00531DDE" w:rsidRDefault="00D55960">
      <w:pPr>
        <w:pStyle w:val="a8"/>
        <w:jc w:val="center"/>
        <w:rPr>
          <w:sz w:val="28"/>
          <w:szCs w:val="28"/>
        </w:rPr>
      </w:pPr>
      <w:r w:rsidRPr="00531DDE">
        <w:rPr>
          <w:sz w:val="28"/>
          <w:szCs w:val="28"/>
        </w:rPr>
        <w:t>демографічних показників</w:t>
      </w:r>
    </w:p>
    <w:p w:rsidR="009C486D" w:rsidRPr="00531DDE" w:rsidRDefault="00D55960">
      <w:pPr>
        <w:pStyle w:val="a8"/>
        <w:jc w:val="center"/>
        <w:rPr>
          <w:rFonts w:asciiTheme="minorHAnsi" w:hAnsiTheme="minorHAnsi"/>
          <w:sz w:val="28"/>
          <w:szCs w:val="28"/>
        </w:rPr>
      </w:pPr>
      <w:r w:rsidRPr="00531DDE">
        <w:rPr>
          <w:sz w:val="28"/>
          <w:szCs w:val="28"/>
        </w:rPr>
        <w:t xml:space="preserve"> Дрогобицької міської територіальної громади</w:t>
      </w:r>
      <w:r w:rsidRPr="00531DDE">
        <w:rPr>
          <w:rFonts w:asciiTheme="minorHAnsi" w:hAnsiTheme="minorHAnsi"/>
          <w:sz w:val="28"/>
          <w:szCs w:val="28"/>
        </w:rPr>
        <w:t xml:space="preserve"> </w:t>
      </w:r>
    </w:p>
    <w:p w:rsidR="009C486D" w:rsidRPr="00531DDE" w:rsidRDefault="00D55960">
      <w:pPr>
        <w:pStyle w:val="a8"/>
        <w:jc w:val="center"/>
        <w:rPr>
          <w:sz w:val="28"/>
          <w:szCs w:val="28"/>
        </w:rPr>
      </w:pPr>
      <w:r w:rsidRPr="00531DDE">
        <w:rPr>
          <w:rFonts w:asciiTheme="minorHAnsi" w:hAnsiTheme="minorHAnsi"/>
          <w:sz w:val="28"/>
          <w:szCs w:val="28"/>
        </w:rPr>
        <w:t xml:space="preserve"> станом на 1 січня 2026 року</w:t>
      </w:r>
    </w:p>
    <w:p w:rsidR="009C486D" w:rsidRDefault="00D55960">
      <w:pPr>
        <w:pStyle w:val="1"/>
      </w:pPr>
      <w:r>
        <w:t>1. Вступ</w:t>
      </w:r>
    </w:p>
    <w:p w:rsidR="009C486D" w:rsidRDefault="00D55960">
      <w:pPr>
        <w:pStyle w:val="2"/>
      </w:pPr>
      <w:r>
        <w:t>1.1 Мета розрахунку</w:t>
      </w:r>
    </w:p>
    <w:p w:rsidR="009C486D" w:rsidRDefault="00D55960">
      <w:pPr>
        <w:spacing w:before="280" w:after="28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Метою даного звіту є проведення розрахунку чисельності населення та відсотка сільського населення Дрогобицької міської територіальної громади станом на 1 січня 2025 року. Цей показник є важливим для планування та реалізації місцевої політики, розподілу ресурсів та прийняття управлінських рішень на рівні громади. Особливу увагу приділено визначенню частки сільського населення, оскільки цей показник безпосередньо впливає на розмір освітньої субвенції від держави.</w:t>
      </w:r>
    </w:p>
    <w:p w:rsidR="009C486D" w:rsidRDefault="00D55960">
      <w:pPr>
        <w:pStyle w:val="2"/>
      </w:pPr>
      <w:r>
        <w:t>1.2 Обґрунтування необхідності проведення власних розрахунків</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власних розрахунків обумовлено наступними факторами:</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Pr>
          <w:rFonts w:ascii="Times New Roman" w:eastAsia="Times New Roman" w:hAnsi="Times New Roman" w:cs="Times New Roman"/>
          <w:b/>
          <w:sz w:val="24"/>
          <w:szCs w:val="24"/>
        </w:rPr>
        <w:t>Відсутність актуальних офіційних статистичних даних</w:t>
      </w:r>
      <w:r>
        <w:rPr>
          <w:rFonts w:ascii="Times New Roman" w:eastAsia="Times New Roman" w:hAnsi="Times New Roman" w:cs="Times New Roman"/>
          <w:sz w:val="24"/>
          <w:szCs w:val="24"/>
        </w:rPr>
        <w:t>: У зв'язку з військовою агресією російської федерації проти України, отримання повного обсягу адміністративних даних для розрахунків демографічних показників органами державної статистики є неможливим.</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b/>
          <w:sz w:val="24"/>
          <w:szCs w:val="24"/>
        </w:rPr>
        <w:t>Законодавчі обмеження</w:t>
      </w:r>
      <w:r>
        <w:rPr>
          <w:rFonts w:ascii="Times New Roman" w:eastAsia="Times New Roman" w:hAnsi="Times New Roman" w:cs="Times New Roman"/>
          <w:sz w:val="24"/>
          <w:szCs w:val="24"/>
        </w:rPr>
        <w:t>: Згідно з положеннями пункту 1 Закону України "Про захист інтересів суб'єктів подання звітності та інших документів у період дії воєнного стану або стану війни" та постанови Кабінету Міністрів України від 12.03.2022 № 263, існують обмеження на функціонування інформаційно-комунікаційних систем та публічних електронних реєстрів в умовах воєнного стану.</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b/>
          <w:sz w:val="24"/>
          <w:szCs w:val="24"/>
        </w:rPr>
        <w:t>) Потреба в актуальних даних</w:t>
      </w:r>
      <w:r>
        <w:rPr>
          <w:rFonts w:ascii="Times New Roman" w:eastAsia="Times New Roman" w:hAnsi="Times New Roman" w:cs="Times New Roman"/>
          <w:sz w:val="24"/>
          <w:szCs w:val="24"/>
        </w:rPr>
        <w:t>: Для ефективного управління громадою необхідна актуальна інформація про демографічну ситуацію, яку неможливо отримати з офіційних джерел у поточних умовах.</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b/>
          <w:sz w:val="24"/>
          <w:szCs w:val="24"/>
        </w:rPr>
        <w:t>Динамічні зміни демографічної ситуації</w:t>
      </w:r>
      <w:r>
        <w:rPr>
          <w:rFonts w:ascii="Times New Roman" w:eastAsia="Times New Roman" w:hAnsi="Times New Roman" w:cs="Times New Roman"/>
          <w:sz w:val="24"/>
          <w:szCs w:val="24"/>
        </w:rPr>
        <w:t>: Враховуючи вплив внутрішньо переміщених осіб (ВПО) на демографічну структуру громади, виникла необхідність у постійному оновленні та уточненні демографічних показників.</w:t>
      </w:r>
    </w:p>
    <w:p w:rsidR="009C486D" w:rsidRDefault="00D55960">
      <w:pPr>
        <w:spacing w:before="280" w:after="28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Враховуючи вищезазначені фактори, виконавчим комітетом Дрогобицької міської ради спільно з комунальною установою "Інститут міста Дрогобич" було прийнято рішення провести власні розрахунки чисельності населення та визначити відсоток сільського населення громади, використовуючи доступні дані та загальноприйняті методики демографічних розрахунків.</w:t>
      </w:r>
    </w:p>
    <w:p w:rsidR="009C486D" w:rsidRDefault="00D55960">
      <w:pPr>
        <w:pStyle w:val="1"/>
      </w:pPr>
      <w:r>
        <w:lastRenderedPageBreak/>
        <w:t>2. Методика розрахунку</w:t>
      </w:r>
    </w:p>
    <w:p w:rsidR="009C486D" w:rsidRDefault="00D55960">
      <w:pPr>
        <w:pStyle w:val="2"/>
      </w:pPr>
      <w:r>
        <w:t>2.1 Загальний підхід</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розрахунку відсотка сільського населення Дрогобицької міської територіальної громади застосовано комплексний підхід, який враховує як постійне населення, так і внутрішньо переміщених осіб (ВПО). Важливо зазначити, що облік ВПО ведеться окремо від загального міграційного руху.</w:t>
      </w:r>
    </w:p>
    <w:p w:rsidR="009C486D" w:rsidRDefault="00D55960">
      <w:pPr>
        <w:pStyle w:val="2"/>
      </w:pPr>
      <w:r>
        <w:t>2.2 Розрахунок  чисельності постійного населення</w:t>
      </w:r>
    </w:p>
    <w:p w:rsidR="009C486D" w:rsidRDefault="00D55960">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постійного населення розраховується за формулою демографічного балансу:</w:t>
      </w:r>
    </w:p>
    <w:p w:rsidR="009C486D" w:rsidRDefault="00D55960">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N(t+1) = N(t) + B(t) - D(t) + I(t) - E(t)</w:t>
      </w:r>
    </w:p>
    <w:p w:rsidR="009C486D" w:rsidRDefault="00D55960">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 чисельність населення</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кількість живонароджених</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кількість померлих</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 кількість прибулих (без врахування ВПО)</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 кількість вибулих (без врахування ВПО)</w:t>
      </w:r>
    </w:p>
    <w:p w:rsidR="009C486D" w:rsidRDefault="00D55960">
      <w:pPr>
        <w:numPr>
          <w:ilvl w:val="0"/>
          <w:numId w:val="1"/>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 попередній період</w:t>
      </w:r>
    </w:p>
    <w:p w:rsidR="009C486D" w:rsidRDefault="00D55960">
      <w:pPr>
        <w:pStyle w:val="2"/>
      </w:pPr>
      <w:r>
        <w:t>2.3 Врахування внутрішньо переміщених осіб (ВПО)</w:t>
      </w:r>
    </w:p>
    <w:p w:rsidR="009C486D" w:rsidRDefault="00D55960">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 розрахунку  чисельності постійного населення, дані про ВПО додаються окремо:</w:t>
      </w:r>
    </w:p>
    <w:p w:rsidR="009C486D" w:rsidRDefault="00D55960">
      <w:p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наявного населення = Чисельність постійного населення + Кількість ВПО</w:t>
      </w:r>
    </w:p>
    <w:p w:rsidR="009C486D" w:rsidRDefault="00D55960">
      <w:pPr>
        <w:pStyle w:val="2"/>
      </w:pPr>
      <w:r>
        <w:t>2.4 Розрахунок відсотка сільського населення</w:t>
      </w:r>
    </w:p>
    <w:p w:rsidR="009C486D" w:rsidRDefault="00D55960">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Відсоток сільського населення розраховується за формулою:</w:t>
      </w:r>
    </w:p>
    <w:p w:rsidR="009C486D" w:rsidRDefault="00D55960">
      <w:p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сільського населення = (Сільське населення + ВПО у сільській місцевості) / (Чисельність наявного населення + Загальна кількість ВПО) * 100%</w:t>
      </w:r>
    </w:p>
    <w:p w:rsidR="009C486D" w:rsidRDefault="00D55960">
      <w:pPr>
        <w:pStyle w:val="2"/>
      </w:pPr>
      <w:r>
        <w:t>2.5 Джерела даних</w:t>
      </w:r>
    </w:p>
    <w:p w:rsidR="009C486D" w:rsidRDefault="00D55960">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розрахунків використано наступні джерела даних:</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Офіційні статистичні дані щодо чисельності міського населення станом на 01.01.2022 року.</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про кількість живонароджених, померлих, прибулих та вибулих протягом 2022 -  2026 років.</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про кількість виборців у кожному населеному пункті громади станом на 1січня 2026 року.</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про кількість учнів та вихованців у освітніх закладах громади.</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кількість укладених декларацій з лікарями ПСМД.</w:t>
      </w:r>
    </w:p>
    <w:p w:rsidR="009C486D" w:rsidRDefault="00D55960">
      <w:pPr>
        <w:numPr>
          <w:ilvl w:val="0"/>
          <w:numId w:val="2"/>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Окремі дані про кількість та розподіл ВПО в громаді.</w:t>
      </w:r>
    </w:p>
    <w:p w:rsidR="009C486D" w:rsidRDefault="00D55960">
      <w:pPr>
        <w:pStyle w:val="2"/>
      </w:pPr>
      <w:r>
        <w:t>2.6 Особливості методики</w:t>
      </w:r>
    </w:p>
    <w:p w:rsidR="009C486D" w:rsidRDefault="00D55960">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Розрахунки проводяться окремо для постійного населення та ВПО, що дозволяє оцінити вплив кожної групи на загальну демографічну ситуацію.</w:t>
      </w:r>
    </w:p>
    <w:p w:rsidR="009C486D" w:rsidRDefault="00D55960">
      <w:pPr>
        <w:numPr>
          <w:ilvl w:val="0"/>
          <w:numId w:val="3"/>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аналізі враховуються всі адміністративно-територіальні зміни, що відбулися з часу останнього перепису населення.</w:t>
      </w:r>
    </w:p>
    <w:p w:rsidR="009C486D" w:rsidRDefault="00D55960">
      <w:pPr>
        <w:numPr>
          <w:ilvl w:val="0"/>
          <w:numId w:val="3"/>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Для забезпечення точності розрахунків використовуються дані з різних джерел, які взаємно доповнюють та верифікують одне одного.</w:t>
      </w:r>
    </w:p>
    <w:p w:rsidR="009C486D" w:rsidRDefault="00D55960">
      <w:pPr>
        <w:pStyle w:val="2"/>
      </w:pPr>
      <w:r>
        <w:t>2.7 Обмеження методики</w:t>
      </w:r>
    </w:p>
    <w:p w:rsidR="009C486D" w:rsidRDefault="00D55960">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Точність розрахунків залежить від актуальності та повноти вхідних даних, особливо щодо ВПО.</w:t>
      </w:r>
    </w:p>
    <w:p w:rsidR="009C486D" w:rsidRDefault="00D55960">
      <w:pPr>
        <w:numPr>
          <w:ilvl w:val="0"/>
          <w:numId w:val="4"/>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Можливі короткострокові коливання чисельності ВПО можуть впливати на загальні показники.</w:t>
      </w:r>
    </w:p>
    <w:p w:rsidR="009C486D" w:rsidRDefault="00D55960">
      <w:pPr>
        <w:numPr>
          <w:ilvl w:val="0"/>
          <w:numId w:val="4"/>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не враховує неофіційну міграцію та осіб, які фактично проживають на території громади, але не зареєстровані офіційно.</w:t>
      </w:r>
    </w:p>
    <w:p w:rsidR="009C486D" w:rsidRDefault="00D55960">
      <w:pPr>
        <w:pStyle w:val="2"/>
      </w:pPr>
      <w:r>
        <w:t>2.8 Періодичність та актуалізація даних</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Розрахунки проводяться на регулярній основі з урахуванням найновіших доступних даних. Останнє оновлення здійснено станом на 1 січня 2026 року.</w:t>
      </w:r>
    </w:p>
    <w:p w:rsidR="009C486D" w:rsidRDefault="00D55960">
      <w:pPr>
        <w:pStyle w:val="1"/>
      </w:pPr>
      <w:r>
        <w:t>3. Вхідні дані</w:t>
      </w:r>
    </w:p>
    <w:p w:rsidR="009C486D" w:rsidRDefault="00D55960">
      <w:pPr>
        <w:pStyle w:val="2"/>
      </w:pPr>
      <w:r>
        <w:t>3.1 чисельність постійного населення</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3.1. Чисельність постійного населення Дрогобицької міської територіальної громади станом на 01.01.2022</w:t>
      </w:r>
      <w:r>
        <w:rPr>
          <w:rStyle w:val="aa"/>
          <w:rFonts w:ascii="Times New Roman" w:eastAsia="Times New Roman" w:hAnsi="Times New Roman" w:cs="Times New Roman"/>
          <w:sz w:val="24"/>
          <w:szCs w:val="24"/>
        </w:rPr>
        <w:footnoteReference w:id="1"/>
      </w:r>
    </w:p>
    <w:tbl>
      <w:tblPr>
        <w:tblW w:w="9356" w:type="dxa"/>
        <w:tblLook w:val="04A0" w:firstRow="1" w:lastRow="0" w:firstColumn="1" w:lastColumn="0" w:noHBand="0" w:noVBand="1"/>
      </w:tblPr>
      <w:tblGrid>
        <w:gridCol w:w="8171"/>
        <w:gridCol w:w="1185"/>
      </w:tblGrid>
      <w:tr w:rsidR="009C486D">
        <w:trPr>
          <w:trHeight w:val="308"/>
        </w:trPr>
        <w:tc>
          <w:tcPr>
            <w:tcW w:w="8170" w:type="dxa"/>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Дрогобицька міська ТГ, усього</w:t>
            </w:r>
          </w:p>
        </w:tc>
        <w:tc>
          <w:tcPr>
            <w:tcW w:w="1185" w:type="dxa"/>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120404</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93882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73682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20200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26522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Биків</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Бистриця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Бійничі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Болехівці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1509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Брониця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Верхні Гаї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Воля Якубова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с. Глинне</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Дережичі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Добрівляни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1177</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Долішній Лужок</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668</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Залужани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Котоване</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Лішня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2224</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Медвежа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691</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Михайлевичі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918</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Монастир-Дережицький</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Монастир-Лішнянський</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Нагуєвичі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2340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Нижні Гаї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1178</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Нове Село</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Новошичі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Ортиничі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Почаєвичі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Раневичі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1584</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Рихтичі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3050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Селець</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Снятинка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868</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Старе Село</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Ступниця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Унятичі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1081</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с. Хатки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r>
    </w:tbl>
    <w:p w:rsidR="009C486D" w:rsidRDefault="009C486D">
      <w:pPr>
        <w:widowControl w:val="0"/>
        <w:spacing w:before="0" w:after="0"/>
        <w:rPr>
          <w:rFonts w:ascii="Times New Roman" w:eastAsia="Times New Roman" w:hAnsi="Times New Roman" w:cs="Times New Roman"/>
          <w:sz w:val="24"/>
          <w:szCs w:val="24"/>
        </w:rPr>
      </w:pPr>
    </w:p>
    <w:tbl>
      <w:tblPr>
        <w:tblpPr w:leftFromText="180" w:rightFromText="180" w:vertAnchor="text" w:tblpY="844"/>
        <w:tblW w:w="9356" w:type="dxa"/>
        <w:tblLook w:val="04A0" w:firstRow="1" w:lastRow="0" w:firstColumn="1" w:lastColumn="0" w:noHBand="0" w:noVBand="1"/>
      </w:tblPr>
      <w:tblGrid>
        <w:gridCol w:w="5416"/>
        <w:gridCol w:w="3940"/>
      </w:tblGrid>
      <w:tr w:rsidR="009C486D">
        <w:tc>
          <w:tcPr>
            <w:tcW w:w="54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3940"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постійного населення</w:t>
            </w:r>
          </w:p>
        </w:tc>
      </w:tr>
      <w:tr w:rsidR="009C486D">
        <w:tc>
          <w:tcPr>
            <w:tcW w:w="54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73 682</w:t>
            </w:r>
          </w:p>
        </w:tc>
      </w:tr>
      <w:tr w:rsidR="009C486D">
        <w:tc>
          <w:tcPr>
            <w:tcW w:w="54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20 200</w:t>
            </w:r>
          </w:p>
        </w:tc>
      </w:tr>
      <w:tr w:rsidR="009C486D">
        <w:tc>
          <w:tcPr>
            <w:tcW w:w="54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26 522</w:t>
            </w:r>
          </w:p>
        </w:tc>
      </w:tr>
      <w:tr w:rsidR="009C486D">
        <w:tc>
          <w:tcPr>
            <w:tcW w:w="54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120 404</w:t>
            </w:r>
          </w:p>
        </w:tc>
      </w:tr>
    </w:tbl>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3.2.Зведена таблиця чисельності постійного населення</w:t>
      </w:r>
    </w:p>
    <w:p w:rsidR="009C486D" w:rsidRDefault="009C486D">
      <w:pPr>
        <w:spacing w:before="280" w:after="280" w:line="240" w:lineRule="auto"/>
        <w:jc w:val="both"/>
        <w:rPr>
          <w:rFonts w:ascii="Times New Roman" w:eastAsia="Times New Roman" w:hAnsi="Times New Roman" w:cs="Times New Roman"/>
          <w:sz w:val="24"/>
          <w:szCs w:val="24"/>
        </w:rPr>
      </w:pPr>
    </w:p>
    <w:p w:rsidR="009C486D" w:rsidRDefault="00D55960">
      <w:pPr>
        <w:pStyle w:val="2"/>
      </w:pPr>
      <w:r>
        <w:t>3.2 Природний рух населення</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3.3. Кількість живонароджених та померлих за 2022-202</w:t>
      </w:r>
      <w:r w:rsidRPr="00531DDE">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 xml:space="preserve"> роки</w:t>
      </w:r>
      <w:r>
        <w:rPr>
          <w:rStyle w:val="aa"/>
          <w:rFonts w:ascii="Times New Roman" w:eastAsia="Times New Roman" w:hAnsi="Times New Roman" w:cs="Times New Roman"/>
          <w:sz w:val="24"/>
          <w:szCs w:val="24"/>
        </w:rPr>
        <w:footnoteReference w:id="2"/>
      </w:r>
    </w:p>
    <w:tbl>
      <w:tblPr>
        <w:tblW w:w="9356" w:type="dxa"/>
        <w:tblLook w:val="04A0" w:firstRow="1" w:lastRow="0" w:firstColumn="1" w:lastColumn="0" w:noHBand="0" w:noVBand="1"/>
      </w:tblPr>
      <w:tblGrid>
        <w:gridCol w:w="1038"/>
        <w:gridCol w:w="2216"/>
        <w:gridCol w:w="3495"/>
        <w:gridCol w:w="2607"/>
      </w:tblGrid>
      <w:tr w:rsidR="009C486D">
        <w:tc>
          <w:tcPr>
            <w:tcW w:w="1038"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Рік</w:t>
            </w:r>
          </w:p>
        </w:tc>
        <w:tc>
          <w:tcPr>
            <w:tcW w:w="2216"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3495"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живонароджених</w:t>
            </w:r>
          </w:p>
        </w:tc>
        <w:tc>
          <w:tcPr>
            <w:tcW w:w="2607"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померлих</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869</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913</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en-US"/>
              </w:rPr>
              <w:t>5</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246</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853</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28</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49</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53</w:t>
            </w:r>
          </w:p>
        </w:tc>
      </w:tr>
    </w:tbl>
    <w:p w:rsidR="009C486D" w:rsidRDefault="00D55960">
      <w:pPr>
        <w:pStyle w:val="2"/>
      </w:pPr>
      <w:r>
        <w:t>3.3 Міграційний рух населення</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3.4. Кількість прибулих та вибулих за 2022-202</w:t>
      </w:r>
      <w:r w:rsidRPr="00531DDE">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 xml:space="preserve"> роки</w:t>
      </w:r>
    </w:p>
    <w:tbl>
      <w:tblPr>
        <w:tblpPr w:leftFromText="180" w:rightFromText="180" w:vertAnchor="text" w:tblpY="57"/>
        <w:tblW w:w="9356" w:type="dxa"/>
        <w:tblLook w:val="04A0" w:firstRow="1" w:lastRow="0" w:firstColumn="1" w:lastColumn="0" w:noHBand="0" w:noVBand="1"/>
      </w:tblPr>
      <w:tblGrid>
        <w:gridCol w:w="1346"/>
        <w:gridCol w:w="2605"/>
        <w:gridCol w:w="3046"/>
        <w:gridCol w:w="2359"/>
      </w:tblGrid>
      <w:tr w:rsidR="009C486D">
        <w:tc>
          <w:tcPr>
            <w:tcW w:w="1346"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Рік</w:t>
            </w:r>
          </w:p>
        </w:tc>
        <w:tc>
          <w:tcPr>
            <w:tcW w:w="2605"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3046"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прибулих</w:t>
            </w:r>
          </w:p>
        </w:tc>
        <w:tc>
          <w:tcPr>
            <w:tcW w:w="2359"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вибулих</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797</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1178</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1051</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en-US"/>
              </w:rPr>
              <w:t>5</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984</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116</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193</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25</w:t>
            </w:r>
            <w:r>
              <w:rPr>
                <w:rFonts w:ascii="Times New Roman" w:eastAsia="Times New Roman" w:hAnsi="Times New Roman" w:cs="Times New Roman"/>
                <w:sz w:val="24"/>
                <w:szCs w:val="24"/>
              </w:rPr>
              <w:t>4</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290</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363</w:t>
            </w:r>
          </w:p>
        </w:tc>
      </w:tr>
    </w:tbl>
    <w:p w:rsidR="009C486D" w:rsidRDefault="009C486D">
      <w:pPr>
        <w:spacing w:before="280" w:after="280" w:line="240" w:lineRule="auto"/>
        <w:jc w:val="both"/>
        <w:rPr>
          <w:rFonts w:ascii="Times New Roman" w:eastAsia="Times New Roman" w:hAnsi="Times New Roman" w:cs="Times New Roman"/>
          <w:sz w:val="24"/>
          <w:szCs w:val="24"/>
        </w:rPr>
      </w:pPr>
    </w:p>
    <w:p w:rsidR="009C486D" w:rsidRDefault="00D55960">
      <w:pPr>
        <w:pStyle w:val="2"/>
      </w:pPr>
      <w:r>
        <w:t>3.4 Додаткові дані</w:t>
      </w:r>
    </w:p>
    <w:p w:rsidR="009C486D" w:rsidRDefault="00D55960">
      <w:pPr>
        <w:numPr>
          <w:ilvl w:val="0"/>
          <w:numId w:val="5"/>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виборців у кожному населеному пункті громади, включених до Державного реєстру виборців, станом на 1 січня 2026 року</w:t>
      </w:r>
    </w:p>
    <w:p w:rsidR="009C486D" w:rsidRDefault="00D55960">
      <w:pPr>
        <w:numPr>
          <w:ilvl w:val="0"/>
          <w:numId w:val="5"/>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учнів та вихованців у дошкільних закладах та закладах загальної середньої освіти населених пунктів громади</w:t>
      </w:r>
    </w:p>
    <w:p w:rsidR="009C486D" w:rsidRDefault="00D55960">
      <w:pPr>
        <w:numPr>
          <w:ilvl w:val="0"/>
          <w:numId w:val="5"/>
        </w:numPr>
        <w:spacing w:before="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укладених декларацій з лікарями ПСМД та їхнє відсоткове співвідношення до кількості міського та сільського населення</w:t>
      </w:r>
    </w:p>
    <w:p w:rsidR="009C486D" w:rsidRDefault="00D55960">
      <w:pPr>
        <w:pStyle w:val="2"/>
      </w:pPr>
      <w:r>
        <w:t>3.5 Адміністративно-територіальні зміни</w:t>
      </w:r>
    </w:p>
    <w:p w:rsidR="009C486D" w:rsidRDefault="00D55960">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період з 01.01.2022 по 01.01.2026 суттєвих адміністративно-територіальних змін, які б вплинули на чисельність населення громади, не відбувалось.</w:t>
      </w:r>
    </w:p>
    <w:p w:rsidR="009C486D" w:rsidRDefault="00D55960">
      <w:pPr>
        <w:pStyle w:val="2"/>
      </w:pPr>
      <w:r>
        <w:lastRenderedPageBreak/>
        <w:t>3.6 Дані про динаміку кількості учнів</w:t>
      </w:r>
      <w:r>
        <w:rPr>
          <w:rStyle w:val="aa"/>
          <w:rFonts w:ascii="Times New Roman" w:eastAsia="Times New Roman" w:hAnsi="Times New Roman" w:cs="Times New Roman"/>
          <w:b/>
          <w:sz w:val="27"/>
          <w:szCs w:val="27"/>
        </w:rPr>
        <w:footnoteReference w:id="3"/>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Проаналізовано динаміку кількості учнів у школах Дрогобицької міської територіальної громади за 2022-2025 навчальні роки:</w:t>
      </w:r>
    </w:p>
    <w:p w:rsidR="009C486D" w:rsidRDefault="00D55960">
      <w:pPr>
        <w:numPr>
          <w:ilvl w:val="0"/>
          <w:numId w:val="6"/>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Дрогобичі зменшення кількості учнів становить 8.13%</w:t>
      </w:r>
    </w:p>
    <w:p w:rsidR="009C486D" w:rsidRDefault="00D55960">
      <w:pPr>
        <w:numPr>
          <w:ilvl w:val="0"/>
          <w:numId w:val="6"/>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Стебнику зменшення становить 6.67%</w:t>
      </w:r>
    </w:p>
    <w:p w:rsidR="009C486D" w:rsidRDefault="00D55960">
      <w:pPr>
        <w:numPr>
          <w:ilvl w:val="0"/>
          <w:numId w:val="6"/>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сільських школах зменшення становить 5.23%</w:t>
      </w:r>
    </w:p>
    <w:p w:rsidR="009C486D" w:rsidRDefault="00D55960">
      <w:pPr>
        <w:pStyle w:val="2"/>
      </w:pPr>
      <w:r>
        <w:t>3.7 Дані щодо внутрішньо переміщених осіб (ВПО)</w:t>
      </w:r>
      <w:r>
        <w:rPr>
          <w:rStyle w:val="aa"/>
          <w:rFonts w:ascii="Times New Roman" w:eastAsia="Times New Roman" w:hAnsi="Times New Roman" w:cs="Times New Roman"/>
          <w:b/>
          <w:sz w:val="27"/>
          <w:szCs w:val="27"/>
        </w:rPr>
        <w:footnoteReference w:id="4"/>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01.01.2026 року в Дрогобицькій територіальній громаді зареєстровано 7896 осіб з числа внутрішньо переміщених, з них:</w:t>
      </w:r>
    </w:p>
    <w:p w:rsidR="009C486D" w:rsidRDefault="00D55960">
      <w:pPr>
        <w:numPr>
          <w:ilvl w:val="0"/>
          <w:numId w:val="7"/>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міській місцевості (Дрогобич, Стебник): 7057 осіб (89.4%)</w:t>
      </w:r>
    </w:p>
    <w:p w:rsidR="009C486D" w:rsidRDefault="00D55960">
      <w:pPr>
        <w:numPr>
          <w:ilvl w:val="0"/>
          <w:numId w:val="7"/>
        </w:numPr>
        <w:spacing w:before="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сільській місцевості: 839 осіб (10.6%)</w:t>
      </w:r>
    </w:p>
    <w:p w:rsidR="009C486D" w:rsidRDefault="00D55960">
      <w:pPr>
        <w:pStyle w:val="1"/>
      </w:pPr>
      <w:r>
        <w:t>4. Розрахунки</w:t>
      </w:r>
    </w:p>
    <w:p w:rsidR="009C486D" w:rsidRDefault="00D55960">
      <w:pPr>
        <w:pStyle w:val="2"/>
      </w:pPr>
      <w:r>
        <w:t>4.1 Покрокове застосування формули демографічного балансу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кожного року та кожного населеного пункту застосовуємо формулу: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N(t+1) = N(t) + B(t) - D(t) + I(t) - E(t) + N(t)АТЗ</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 N - чисельність населення B - кількість живонароджених D - кількість померлих I - кількість прибулих E - кількість вибулих АТЗ - зміни внаслідок адміністративно-територіальних змін t - попередній період</w:t>
      </w:r>
    </w:p>
    <w:p w:rsidR="009C486D" w:rsidRDefault="00D55960">
      <w:pPr>
        <w:pStyle w:val="2"/>
      </w:pPr>
      <w:r>
        <w:t>4.2 Розрахунок на 1 січня 2023 року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4.1. Розрахунок чисельності постійного  населення на 01.01.2023</w:t>
      </w:r>
    </w:p>
    <w:tbl>
      <w:tblPr>
        <w:tblW w:w="9356" w:type="dxa"/>
        <w:jc w:val="center"/>
        <w:tblLook w:val="04A0" w:firstRow="1" w:lastRow="0" w:firstColumn="1" w:lastColumn="0" w:noHBand="0" w:noVBand="1"/>
      </w:tblPr>
      <w:tblGrid>
        <w:gridCol w:w="2683"/>
        <w:gridCol w:w="1236"/>
        <w:gridCol w:w="812"/>
        <w:gridCol w:w="919"/>
        <w:gridCol w:w="760"/>
        <w:gridCol w:w="812"/>
        <w:gridCol w:w="894"/>
        <w:gridCol w:w="1240"/>
      </w:tblGrid>
      <w:tr w:rsidR="009C486D">
        <w:trPr>
          <w:jc w:val="center"/>
        </w:trPr>
        <w:tc>
          <w:tcPr>
            <w:tcW w:w="268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1236"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812"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919"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760"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812"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89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АТЗ</w:t>
            </w:r>
          </w:p>
        </w:tc>
        <w:tc>
          <w:tcPr>
            <w:tcW w:w="1240"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N(t+1)</w:t>
            </w:r>
          </w:p>
        </w:tc>
      </w:tr>
      <w:tr w:rsidR="009C486D">
        <w:trP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73682</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869</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73119</w:t>
            </w:r>
          </w:p>
        </w:tc>
      </w:tr>
      <w:tr w:rsidR="009C486D">
        <w:trP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20200</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20100</w:t>
            </w:r>
          </w:p>
        </w:tc>
      </w:tr>
      <w:tr w:rsidR="009C486D">
        <w:trP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26522</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26491</w:t>
            </w:r>
          </w:p>
        </w:tc>
      </w:tr>
      <w:tr w:rsidR="009C486D">
        <w:trP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120404</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685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1447</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779</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711</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119710</w:t>
            </w:r>
          </w:p>
        </w:tc>
      </w:tr>
    </w:tbl>
    <w:p w:rsidR="009C486D" w:rsidRDefault="009C486D">
      <w:pPr>
        <w:pStyle w:val="2"/>
      </w:pPr>
    </w:p>
    <w:p w:rsidR="009C486D" w:rsidRDefault="009C486D">
      <w:pPr>
        <w:pStyle w:val="2"/>
      </w:pPr>
    </w:p>
    <w:p w:rsidR="009C486D" w:rsidRDefault="009C486D">
      <w:pPr>
        <w:pStyle w:val="2"/>
      </w:pPr>
    </w:p>
    <w:p w:rsidR="009C486D" w:rsidRDefault="00D55960">
      <w:pPr>
        <w:pStyle w:val="2"/>
      </w:pPr>
      <w:r>
        <w:lastRenderedPageBreak/>
        <w:t>4.3 Розрахунок на 1 січня 2024 року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4.</w:t>
      </w:r>
      <w:r w:rsidRPr="00531DDE">
        <w:rPr>
          <w:rFonts w:ascii="Times New Roman" w:eastAsia="Times New Roman" w:hAnsi="Times New Roman" w:cs="Times New Roman"/>
          <w:sz w:val="24"/>
          <w:szCs w:val="24"/>
          <w:lang w:val="ru-RU"/>
        </w:rPr>
        <w:t>2</w:t>
      </w:r>
      <w:r>
        <w:rPr>
          <w:rFonts w:ascii="Times New Roman" w:eastAsia="Times New Roman" w:hAnsi="Times New Roman" w:cs="Times New Roman"/>
          <w:sz w:val="24"/>
          <w:szCs w:val="24"/>
        </w:rPr>
        <w:t>. Розрахунок чисельності постійного населення на 01.01.2024</w:t>
      </w:r>
    </w:p>
    <w:tbl>
      <w:tblPr>
        <w:tblpPr w:leftFromText="180" w:rightFromText="180" w:vertAnchor="text" w:tblpY="257"/>
        <w:tblW w:w="9356" w:type="dxa"/>
        <w:tblLook w:val="04A0" w:firstRow="1" w:lastRow="0" w:firstColumn="1" w:lastColumn="0" w:noHBand="0" w:noVBand="1"/>
      </w:tblPr>
      <w:tblGrid>
        <w:gridCol w:w="2609"/>
        <w:gridCol w:w="1201"/>
        <w:gridCol w:w="791"/>
        <w:gridCol w:w="893"/>
        <w:gridCol w:w="894"/>
        <w:gridCol w:w="893"/>
        <w:gridCol w:w="869"/>
        <w:gridCol w:w="1206"/>
      </w:tblGrid>
      <w:tr w:rsidR="009C486D">
        <w:trPr>
          <w:trHeight w:val="90"/>
        </w:trPr>
        <w:tc>
          <w:tcPr>
            <w:tcW w:w="2609"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1201"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791"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89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89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89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869"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АТЗ</w:t>
            </w:r>
          </w:p>
        </w:tc>
        <w:tc>
          <w:tcPr>
            <w:tcW w:w="1206"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N(t+1)</w:t>
            </w:r>
          </w:p>
        </w:tc>
      </w:tr>
      <w:tr w:rsidR="009C486D">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73119</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797</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72548</w:t>
            </w:r>
          </w:p>
        </w:tc>
      </w:tr>
      <w:tr w:rsidR="009C486D">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20100</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20032</w:t>
            </w:r>
          </w:p>
        </w:tc>
      </w:tr>
      <w:tr w:rsidR="009C486D">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26491</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26473</w:t>
            </w:r>
          </w:p>
        </w:tc>
      </w:tr>
      <w:tr w:rsidR="009C486D">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119710</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622</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1344</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1393</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1328</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119053</w:t>
            </w:r>
          </w:p>
        </w:tc>
      </w:tr>
    </w:tbl>
    <w:p w:rsidR="009C486D" w:rsidRDefault="009C486D"/>
    <w:p w:rsidR="009C486D" w:rsidRDefault="00D55960">
      <w:pPr>
        <w:pStyle w:val="2"/>
      </w:pPr>
      <w:r>
        <w:t>4.4 Розрахунок на 1 січня 2025 року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4.</w:t>
      </w:r>
      <w:r w:rsidRPr="00531DDE">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 Розрахунок чисельності постійного населення на 01.01.2025</w:t>
      </w:r>
    </w:p>
    <w:tbl>
      <w:tblPr>
        <w:tblpPr w:leftFromText="180" w:rightFromText="180" w:vertAnchor="text" w:tblpY="371"/>
        <w:tblW w:w="9356" w:type="dxa"/>
        <w:tblLook w:val="04A0" w:firstRow="1" w:lastRow="0" w:firstColumn="1" w:lastColumn="0" w:noHBand="0" w:noVBand="1"/>
      </w:tblPr>
      <w:tblGrid>
        <w:gridCol w:w="2635"/>
        <w:gridCol w:w="1213"/>
        <w:gridCol w:w="798"/>
        <w:gridCol w:w="815"/>
        <w:gridCol w:w="902"/>
        <w:gridCol w:w="901"/>
        <w:gridCol w:w="877"/>
        <w:gridCol w:w="1215"/>
      </w:tblGrid>
      <w:tr w:rsidR="009C486D">
        <w:tc>
          <w:tcPr>
            <w:tcW w:w="263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121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798"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8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902"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901"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87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АТЗ</w:t>
            </w:r>
          </w:p>
        </w:tc>
        <w:tc>
          <w:tcPr>
            <w:tcW w:w="12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N(t+1)</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72548</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913</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1178</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1051</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72013</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20032</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19852</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26473</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26286</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119053</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1559</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1847</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1637</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118151</w:t>
            </w:r>
          </w:p>
        </w:tc>
      </w:tr>
    </w:tbl>
    <w:p w:rsidR="009C486D" w:rsidRDefault="009C486D">
      <w:pPr>
        <w:spacing w:before="280" w:after="280" w:line="240" w:lineRule="auto"/>
        <w:rPr>
          <w:rFonts w:ascii="Times New Roman" w:eastAsia="Times New Roman" w:hAnsi="Times New Roman" w:cs="Times New Roman"/>
          <w:sz w:val="24"/>
          <w:szCs w:val="24"/>
        </w:rPr>
      </w:pPr>
    </w:p>
    <w:p w:rsidR="009C486D" w:rsidRDefault="00D55960">
      <w:pPr>
        <w:pStyle w:val="2"/>
      </w:pPr>
      <w:r>
        <w:t>4.5 Розрахунок на 1 січня 2026 року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4.</w:t>
      </w:r>
      <w:r w:rsidRPr="00531DDE">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 Розрахунок чисельності постійного населення на 01.01.2026</w:t>
      </w:r>
    </w:p>
    <w:tbl>
      <w:tblPr>
        <w:tblpPr w:leftFromText="180" w:rightFromText="180" w:vertAnchor="text" w:tblpY="371"/>
        <w:tblW w:w="9356" w:type="dxa"/>
        <w:tblLook w:val="04A0" w:firstRow="1" w:lastRow="0" w:firstColumn="1" w:lastColumn="0" w:noHBand="0" w:noVBand="1"/>
      </w:tblPr>
      <w:tblGrid>
        <w:gridCol w:w="2635"/>
        <w:gridCol w:w="1213"/>
        <w:gridCol w:w="798"/>
        <w:gridCol w:w="815"/>
        <w:gridCol w:w="902"/>
        <w:gridCol w:w="901"/>
        <w:gridCol w:w="877"/>
        <w:gridCol w:w="1215"/>
      </w:tblGrid>
      <w:tr w:rsidR="009C486D">
        <w:tc>
          <w:tcPr>
            <w:tcW w:w="263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121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798"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8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902"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901"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87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АТЗ</w:t>
            </w:r>
          </w:p>
        </w:tc>
        <w:tc>
          <w:tcPr>
            <w:tcW w:w="12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N(t+1)</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72013</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246</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853</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984</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1116</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71</w:t>
            </w:r>
            <w:r>
              <w:rPr>
                <w:rFonts w:ascii="Times New Roman" w:eastAsia="Times New Roman" w:hAnsi="Times New Roman" w:cs="Times New Roman"/>
                <w:sz w:val="24"/>
                <w:szCs w:val="24"/>
                <w:lang w:val="en-US"/>
              </w:rPr>
              <w:t>274</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19852</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lang w:val="en-US"/>
              </w:rPr>
              <w:t>614</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26286</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49</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260</w:t>
            </w:r>
            <w:r>
              <w:rPr>
                <w:rFonts w:ascii="Times New Roman" w:eastAsia="Times New Roman" w:hAnsi="Times New Roman" w:cs="Times New Roman"/>
                <w:sz w:val="24"/>
                <w:szCs w:val="24"/>
                <w:lang w:val="en-US"/>
              </w:rPr>
              <w:t>09</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Разом</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118151</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446</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1434</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1467</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1733</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116</w:t>
            </w:r>
            <w:r>
              <w:rPr>
                <w:rFonts w:ascii="Times New Roman" w:eastAsia="Times New Roman" w:hAnsi="Times New Roman" w:cs="Times New Roman"/>
                <w:sz w:val="24"/>
                <w:szCs w:val="24"/>
                <w:lang w:val="en-US"/>
              </w:rPr>
              <w:t>897</w:t>
            </w:r>
          </w:p>
        </w:tc>
      </w:tr>
    </w:tbl>
    <w:p w:rsidR="009C486D" w:rsidRDefault="009C486D">
      <w:pPr>
        <w:spacing w:before="280" w:after="280" w:line="240" w:lineRule="auto"/>
        <w:rPr>
          <w:rFonts w:ascii="Times New Roman" w:eastAsia="Times New Roman" w:hAnsi="Times New Roman" w:cs="Times New Roman"/>
          <w:sz w:val="24"/>
          <w:szCs w:val="24"/>
        </w:rPr>
      </w:pPr>
    </w:p>
    <w:p w:rsidR="009C486D" w:rsidRDefault="00D55960">
      <w:pPr>
        <w:pStyle w:val="2"/>
      </w:pPr>
      <w:r>
        <w:t>4.5 Аналіз результатів</w:t>
      </w:r>
    </w:p>
    <w:p w:rsidR="009C486D" w:rsidRDefault="00D55960">
      <w:pPr>
        <w:numPr>
          <w:ilvl w:val="0"/>
          <w:numId w:val="8"/>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тенденція: спостерігається поступове зменшення постійного населення громади з 120404 осіб на початку 2022 року до 116897 осіб на 1 січня 2026 року (без урахування ВПО).</w:t>
      </w:r>
    </w:p>
    <w:p w:rsidR="009C486D" w:rsidRDefault="00D55960">
      <w:pPr>
        <w:numPr>
          <w:ilvl w:val="0"/>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Міське населення: </w:t>
      </w:r>
    </w:p>
    <w:p w:rsidR="009C486D" w:rsidRDefault="00D55960">
      <w:pPr>
        <w:numPr>
          <w:ilvl w:val="1"/>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 зменшення з 73682 до 71</w:t>
      </w:r>
      <w:r w:rsidRPr="00531DDE">
        <w:rPr>
          <w:rFonts w:ascii="Times New Roman" w:eastAsia="Times New Roman" w:hAnsi="Times New Roman" w:cs="Times New Roman"/>
          <w:sz w:val="24"/>
          <w:szCs w:val="24"/>
          <w:lang w:val="ru-RU"/>
        </w:rPr>
        <w:t>274</w:t>
      </w:r>
      <w:r>
        <w:rPr>
          <w:rFonts w:ascii="Times New Roman" w:eastAsia="Times New Roman" w:hAnsi="Times New Roman" w:cs="Times New Roman"/>
          <w:sz w:val="24"/>
          <w:szCs w:val="24"/>
        </w:rPr>
        <w:t xml:space="preserve"> осіб (-2</w:t>
      </w:r>
      <w:r w:rsidRPr="00531DDE">
        <w:rPr>
          <w:rFonts w:ascii="Times New Roman" w:eastAsia="Times New Roman" w:hAnsi="Times New Roman" w:cs="Times New Roman"/>
          <w:sz w:val="24"/>
          <w:szCs w:val="24"/>
          <w:lang w:val="ru-RU"/>
        </w:rPr>
        <w:t>408</w:t>
      </w:r>
      <w:r>
        <w:rPr>
          <w:rFonts w:ascii="Times New Roman" w:eastAsia="Times New Roman" w:hAnsi="Times New Roman" w:cs="Times New Roman"/>
          <w:sz w:val="24"/>
          <w:szCs w:val="24"/>
        </w:rPr>
        <w:t xml:space="preserve"> особа, -3.</w:t>
      </w:r>
      <w:r w:rsidRPr="00531DDE">
        <w:rPr>
          <w:rFonts w:ascii="Times New Roman" w:eastAsia="Times New Roman" w:hAnsi="Times New Roman" w:cs="Times New Roman"/>
          <w:sz w:val="24"/>
          <w:szCs w:val="24"/>
          <w:lang w:val="ru-RU"/>
        </w:rPr>
        <w:t>26</w:t>
      </w:r>
      <w:r>
        <w:rPr>
          <w:rFonts w:ascii="Times New Roman" w:eastAsia="Times New Roman" w:hAnsi="Times New Roman" w:cs="Times New Roman"/>
          <w:sz w:val="24"/>
          <w:szCs w:val="24"/>
        </w:rPr>
        <w:t>%)</w:t>
      </w:r>
    </w:p>
    <w:p w:rsidR="009C486D" w:rsidRDefault="00D55960">
      <w:pPr>
        <w:numPr>
          <w:ilvl w:val="1"/>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 зменшення з 20200 до 1961</w:t>
      </w:r>
      <w:r w:rsidRPr="00531DDE">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 xml:space="preserve"> осіб (-58</w:t>
      </w:r>
      <w:r w:rsidRPr="00531DDE">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 xml:space="preserve"> осіб, -2.9%)</w:t>
      </w:r>
    </w:p>
    <w:p w:rsidR="009C486D" w:rsidRDefault="00D55960">
      <w:pPr>
        <w:numPr>
          <w:ilvl w:val="0"/>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 зменшення з 26522 до 260</w:t>
      </w:r>
      <w:r w:rsidRPr="00531DDE">
        <w:rPr>
          <w:rFonts w:ascii="Times New Roman" w:eastAsia="Times New Roman" w:hAnsi="Times New Roman" w:cs="Times New Roman"/>
          <w:sz w:val="24"/>
          <w:szCs w:val="24"/>
          <w:lang w:val="ru-RU"/>
        </w:rPr>
        <w:t>09</w:t>
      </w:r>
      <w:r>
        <w:rPr>
          <w:rFonts w:ascii="Times New Roman" w:eastAsia="Times New Roman" w:hAnsi="Times New Roman" w:cs="Times New Roman"/>
          <w:sz w:val="24"/>
          <w:szCs w:val="24"/>
        </w:rPr>
        <w:t xml:space="preserve"> осіб (-5</w:t>
      </w:r>
      <w:r w:rsidRPr="00531DDE">
        <w:rPr>
          <w:rFonts w:ascii="Times New Roman" w:eastAsia="Times New Roman" w:hAnsi="Times New Roman" w:cs="Times New Roman"/>
          <w:sz w:val="24"/>
          <w:szCs w:val="24"/>
          <w:lang w:val="ru-RU"/>
        </w:rPr>
        <w:t>13</w:t>
      </w:r>
      <w:r>
        <w:rPr>
          <w:rFonts w:ascii="Times New Roman" w:eastAsia="Times New Roman" w:hAnsi="Times New Roman" w:cs="Times New Roman"/>
          <w:sz w:val="24"/>
          <w:szCs w:val="24"/>
        </w:rPr>
        <w:t xml:space="preserve"> осіб, -1.</w:t>
      </w:r>
      <w:r w:rsidRPr="00531DDE">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w:t>
      </w:r>
    </w:p>
    <w:p w:rsidR="009C486D" w:rsidRDefault="00D55960">
      <w:pPr>
        <w:numPr>
          <w:ilvl w:val="0"/>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Співвідношення міського і сільського населення: </w:t>
      </w:r>
    </w:p>
    <w:p w:rsidR="009C486D" w:rsidRDefault="00D55960">
      <w:pPr>
        <w:numPr>
          <w:ilvl w:val="1"/>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01.01.2022: 77.97% міського, 22.03% сільського</w:t>
      </w:r>
    </w:p>
    <w:p w:rsidR="009C486D" w:rsidRDefault="00D55960">
      <w:pPr>
        <w:numPr>
          <w:ilvl w:val="1"/>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01.01.2026: 7</w:t>
      </w:r>
      <w:r>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rPr>
        <w:t>.75% міського, 2</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.25% сільського</w:t>
      </w:r>
    </w:p>
    <w:p w:rsidR="009C486D" w:rsidRDefault="00D55960">
      <w:pPr>
        <w:numPr>
          <w:ilvl w:val="0"/>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Природний приріст: спостерігається від'ємний природний приріст у всіх типах населених пунктів.</w:t>
      </w:r>
    </w:p>
    <w:p w:rsidR="009C486D" w:rsidRDefault="00D55960">
      <w:pPr>
        <w:numPr>
          <w:ilvl w:val="0"/>
          <w:numId w:val="8"/>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Міграційний рух: має змінний характер, але в цілому не компенсує природне зменшення населення.</w:t>
      </w:r>
    </w:p>
    <w:p w:rsidR="009C486D" w:rsidRDefault="00D55960">
      <w:pPr>
        <w:pStyle w:val="1"/>
      </w:pPr>
      <w:r>
        <w:t>5 Результати</w:t>
      </w:r>
    </w:p>
    <w:p w:rsidR="009C486D" w:rsidRDefault="00D55960">
      <w:pPr>
        <w:pStyle w:val="2"/>
      </w:pPr>
      <w:r>
        <w:t>5.1. Методика розрахунку</w:t>
      </w:r>
    </w:p>
    <w:p w:rsidR="009C486D" w:rsidRDefault="00D5596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розрахунку відсотка сільського населення Дрогобицької міської територіальної громади застосовано комплексний підхід:</w:t>
      </w:r>
    </w:p>
    <w:p w:rsidR="009C486D" w:rsidRDefault="00D55960">
      <w:pPr>
        <w:numPr>
          <w:ilvl w:val="0"/>
          <w:numId w:val="9"/>
        </w:numPr>
        <w:spacing w:line="240" w:lineRule="auto"/>
      </w:pPr>
      <w:r>
        <w:rPr>
          <w:rFonts w:ascii="Times New Roman" w:eastAsia="Times New Roman" w:hAnsi="Times New Roman" w:cs="Times New Roman"/>
          <w:color w:val="000000"/>
          <w:sz w:val="24"/>
          <w:szCs w:val="24"/>
        </w:rPr>
        <w:t>Проведено розрахунок наявного населення для кожного типу населеного пункту громади станом на 1 січня 2026 року за формулою демографічного балансу.</w:t>
      </w:r>
    </w:p>
    <w:p w:rsidR="009C486D" w:rsidRDefault="00D55960">
      <w:pPr>
        <w:numPr>
          <w:ilvl w:val="0"/>
          <w:numId w:val="9"/>
        </w:numPr>
        <w:spacing w:line="240" w:lineRule="auto"/>
      </w:pPr>
      <w:r>
        <w:rPr>
          <w:rFonts w:ascii="Times New Roman" w:eastAsia="Times New Roman" w:hAnsi="Times New Roman" w:cs="Times New Roman"/>
          <w:color w:val="000000"/>
          <w:sz w:val="24"/>
          <w:szCs w:val="24"/>
        </w:rPr>
        <w:t>Враховано дані про кількість внутрішньо переміщених осіб (ВПО).</w:t>
      </w:r>
    </w:p>
    <w:p w:rsidR="009C486D" w:rsidRDefault="00D55960">
      <w:pPr>
        <w:numPr>
          <w:ilvl w:val="0"/>
          <w:numId w:val="9"/>
        </w:numPr>
        <w:spacing w:line="240" w:lineRule="auto"/>
      </w:pPr>
      <w:r>
        <w:rPr>
          <w:rFonts w:ascii="Times New Roman" w:eastAsia="Times New Roman" w:hAnsi="Times New Roman" w:cs="Times New Roman"/>
          <w:color w:val="000000"/>
          <w:sz w:val="24"/>
          <w:szCs w:val="24"/>
        </w:rPr>
        <w:t>Проаналізовано динаміку кількості учнів у школах громади за 2022-202</w:t>
      </w:r>
      <w:r w:rsidRPr="00531DDE">
        <w:rPr>
          <w:rFonts w:ascii="Times New Roman" w:eastAsia="Times New Roman" w:hAnsi="Times New Roman" w:cs="Times New Roman"/>
          <w:color w:val="000000"/>
          <w:sz w:val="24"/>
          <w:szCs w:val="24"/>
          <w:lang w:val="ru-RU"/>
        </w:rPr>
        <w:t>6</w:t>
      </w:r>
      <w:r>
        <w:rPr>
          <w:rFonts w:ascii="Times New Roman" w:eastAsia="Times New Roman" w:hAnsi="Times New Roman" w:cs="Times New Roman"/>
          <w:color w:val="000000"/>
          <w:sz w:val="24"/>
          <w:szCs w:val="24"/>
        </w:rPr>
        <w:t xml:space="preserve"> навчальні роки.</w:t>
      </w:r>
    </w:p>
    <w:p w:rsidR="009C486D" w:rsidRDefault="00D55960">
      <w:pPr>
        <w:numPr>
          <w:ilvl w:val="0"/>
          <w:numId w:val="9"/>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Застосовано коефіцієнт корекції на основі динаміки співвідношення міських та сільських школярів.</w:t>
      </w:r>
    </w:p>
    <w:p w:rsidR="009C486D" w:rsidRDefault="00D55960">
      <w:pPr>
        <w:pStyle w:val="3"/>
      </w:pPr>
      <w:r>
        <w:t>5.2.1. Станом на 1 січня 2026 року (з урахуванням ВПО)</w:t>
      </w:r>
    </w:p>
    <w:p w:rsidR="009C486D" w:rsidRDefault="009C486D"/>
    <w:tbl>
      <w:tblPr>
        <w:tblpPr w:leftFromText="180" w:rightFromText="180" w:vertAnchor="text" w:tblpY="34"/>
        <w:tblW w:w="9634" w:type="dxa"/>
        <w:tblLook w:val="04A0" w:firstRow="1" w:lastRow="0" w:firstColumn="1" w:lastColumn="0" w:noHBand="0" w:noVBand="1"/>
      </w:tblPr>
      <w:tblGrid>
        <w:gridCol w:w="1994"/>
        <w:gridCol w:w="2310"/>
        <w:gridCol w:w="749"/>
        <w:gridCol w:w="2524"/>
        <w:gridCol w:w="2057"/>
      </w:tblGrid>
      <w:tr w:rsidR="009C486D">
        <w:tc>
          <w:tcPr>
            <w:tcW w:w="199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2310"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Населення без ВПО</w:t>
            </w:r>
          </w:p>
        </w:tc>
        <w:tc>
          <w:tcPr>
            <w:tcW w:w="749"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ВПО</w:t>
            </w:r>
          </w:p>
        </w:tc>
        <w:tc>
          <w:tcPr>
            <w:tcW w:w="252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w:t>
            </w:r>
          </w:p>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наявного населення</w:t>
            </w:r>
          </w:p>
        </w:tc>
        <w:tc>
          <w:tcPr>
            <w:tcW w:w="205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загального</w:t>
            </w:r>
          </w:p>
        </w:tc>
      </w:tr>
      <w:tr w:rsidR="009C486D">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71274</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5613</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76887</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61.62%</w:t>
            </w:r>
          </w:p>
        </w:tc>
      </w:tr>
      <w:tr w:rsidR="009C486D">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19614</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1444</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21058</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16.87%</w:t>
            </w:r>
          </w:p>
        </w:tc>
      </w:tr>
      <w:tr w:rsidR="009C486D">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26009</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26848</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21.51%</w:t>
            </w:r>
          </w:p>
        </w:tc>
      </w:tr>
      <w:tr w:rsidR="009C486D">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Разом</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116897</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7896</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124793</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9C486D" w:rsidRDefault="009C486D"/>
    <w:p w:rsidR="009C486D" w:rsidRDefault="00D55960">
      <w:pPr>
        <w:pStyle w:val="2"/>
      </w:pPr>
      <w:r>
        <w:t>5.3. Аналіз динаміки наявного населення</w:t>
      </w:r>
    </w:p>
    <w:p w:rsidR="009C486D" w:rsidRDefault="00D55960">
      <w:pPr>
        <w:pStyle w:val="3"/>
      </w:pPr>
      <w:r>
        <w:t>5.3.1. Динаміка зміни чисельності постійного населення та відсотка сільського населення</w:t>
      </w:r>
    </w:p>
    <w:tbl>
      <w:tblPr>
        <w:tblW w:w="9638" w:type="dxa"/>
        <w:tblLook w:val="04A0" w:firstRow="1" w:lastRow="0" w:firstColumn="1" w:lastColumn="0" w:noHBand="0" w:noVBand="1"/>
      </w:tblPr>
      <w:tblGrid>
        <w:gridCol w:w="1402"/>
        <w:gridCol w:w="2077"/>
        <w:gridCol w:w="1808"/>
        <w:gridCol w:w="1987"/>
        <w:gridCol w:w="2364"/>
      </w:tblGrid>
      <w:tr w:rsidR="009C486D">
        <w:trPr>
          <w:trHeight w:val="695"/>
        </w:trPr>
        <w:tc>
          <w:tcPr>
            <w:tcW w:w="1402" w:type="dxa"/>
            <w:shd w:val="clear" w:color="auto" w:fill="auto"/>
          </w:tcPr>
          <w:p w:rsidR="009C486D" w:rsidRDefault="00D55960">
            <w:pPr>
              <w:jc w:val="center"/>
              <w:rPr>
                <w:rFonts w:ascii="Times New Roman" w:eastAsia="Times New Roman" w:hAnsi="Times New Roman" w:cs="Times New Roman"/>
                <w:sz w:val="24"/>
                <w:szCs w:val="24"/>
              </w:rPr>
            </w:pPr>
            <w:bookmarkStart w:id="0" w:name="_heading=h.gjdgxs"/>
            <w:bookmarkEnd w:id="0"/>
            <w:r>
              <w:rPr>
                <w:rFonts w:ascii="Times New Roman" w:eastAsia="Times New Roman" w:hAnsi="Times New Roman" w:cs="Times New Roman"/>
                <w:sz w:val="24"/>
                <w:szCs w:val="24"/>
              </w:rPr>
              <w:t>Дата</w:t>
            </w:r>
          </w:p>
        </w:tc>
        <w:tc>
          <w:tcPr>
            <w:tcW w:w="207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чисельність</w:t>
            </w:r>
          </w:p>
        </w:tc>
        <w:tc>
          <w:tcPr>
            <w:tcW w:w="1808"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w:t>
            </w:r>
          </w:p>
        </w:tc>
        <w:tc>
          <w:tcPr>
            <w:tcW w:w="198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w:t>
            </w:r>
          </w:p>
        </w:tc>
        <w:tc>
          <w:tcPr>
            <w:tcW w:w="236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сільського населення</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01.01.2022</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120404</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93882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26522</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22.03%</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01.01.2023</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119710</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93219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26491</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22.13%</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01.01.2024</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119053</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92580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26473</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22.24%</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01.01.2025</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118151</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91865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26286</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22.25%</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01.01.2026</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116897</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90</w:t>
            </w:r>
            <w:r>
              <w:rPr>
                <w:rFonts w:ascii="Times New Roman" w:eastAsia="Times New Roman" w:hAnsi="Times New Roman" w:cs="Times New Roman"/>
                <w:sz w:val="24"/>
                <w:szCs w:val="24"/>
                <w:lang w:val="en-US"/>
              </w:rPr>
              <w:t>888</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260</w:t>
            </w:r>
            <w:r>
              <w:rPr>
                <w:rFonts w:ascii="Times New Roman" w:eastAsia="Times New Roman" w:hAnsi="Times New Roman" w:cs="Times New Roman"/>
                <w:sz w:val="24"/>
                <w:szCs w:val="24"/>
                <w:lang w:val="en-US"/>
              </w:rPr>
              <w:t>09</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.25%</w:t>
            </w:r>
          </w:p>
        </w:tc>
      </w:tr>
    </w:tbl>
    <w:p w:rsidR="009C486D" w:rsidRDefault="00D55960">
      <w:pPr>
        <w:pStyle w:val="3"/>
      </w:pPr>
      <w:bookmarkStart w:id="1" w:name="_heading=h.30j0zll"/>
      <w:bookmarkEnd w:id="1"/>
      <w:r>
        <w:t>5.3.2 Чисельність наявного населення на 1 січня 2026 року</w:t>
      </w:r>
    </w:p>
    <w:tbl>
      <w:tblPr>
        <w:tblW w:w="9638" w:type="dxa"/>
        <w:tblLook w:val="04A0" w:firstRow="1" w:lastRow="0" w:firstColumn="1" w:lastColumn="0" w:noHBand="0" w:noVBand="1"/>
      </w:tblPr>
      <w:tblGrid>
        <w:gridCol w:w="2404"/>
        <w:gridCol w:w="1547"/>
        <w:gridCol w:w="1687"/>
        <w:gridCol w:w="1836"/>
        <w:gridCol w:w="2164"/>
      </w:tblGrid>
      <w:tr w:rsidR="009C486D">
        <w:trPr>
          <w:trHeight w:val="695"/>
        </w:trPr>
        <w:tc>
          <w:tcPr>
            <w:tcW w:w="2404" w:type="dxa"/>
            <w:shd w:val="clear" w:color="auto" w:fill="auto"/>
          </w:tcPr>
          <w:p w:rsidR="009C486D" w:rsidRDefault="00D55960">
            <w:pPr>
              <w:jc w:val="center"/>
            </w:pPr>
            <w:r>
              <w:t>Категорія населення</w:t>
            </w:r>
          </w:p>
        </w:tc>
        <w:tc>
          <w:tcPr>
            <w:tcW w:w="1547" w:type="dxa"/>
            <w:shd w:val="clear" w:color="auto" w:fill="auto"/>
          </w:tcPr>
          <w:p w:rsidR="009C486D" w:rsidRDefault="00D55960">
            <w:pPr>
              <w:jc w:val="center"/>
            </w:pPr>
            <w:r>
              <w:t>Загальна чисельність</w:t>
            </w:r>
          </w:p>
        </w:tc>
        <w:tc>
          <w:tcPr>
            <w:tcW w:w="1687" w:type="dxa"/>
            <w:shd w:val="clear" w:color="auto" w:fill="auto"/>
          </w:tcPr>
          <w:p w:rsidR="009C486D" w:rsidRDefault="00D55960">
            <w:pPr>
              <w:jc w:val="center"/>
            </w:pPr>
            <w:r>
              <w:t>Міське населення</w:t>
            </w:r>
          </w:p>
        </w:tc>
        <w:tc>
          <w:tcPr>
            <w:tcW w:w="1836" w:type="dxa"/>
            <w:shd w:val="clear" w:color="auto" w:fill="auto"/>
          </w:tcPr>
          <w:p w:rsidR="009C486D" w:rsidRDefault="00D55960">
            <w:pPr>
              <w:jc w:val="center"/>
            </w:pPr>
            <w:r>
              <w:t>Сільське населення</w:t>
            </w:r>
          </w:p>
        </w:tc>
        <w:tc>
          <w:tcPr>
            <w:tcW w:w="2164" w:type="dxa"/>
            <w:shd w:val="clear" w:color="auto" w:fill="auto"/>
          </w:tcPr>
          <w:p w:rsidR="009C486D" w:rsidRDefault="00D55960">
            <w:pPr>
              <w:jc w:val="center"/>
            </w:pPr>
            <w:r>
              <w:t>% сільського населення</w:t>
            </w:r>
          </w:p>
        </w:tc>
      </w:tr>
      <w:tr w:rsidR="009C486D">
        <w:trPr>
          <w:trHeight w:val="461"/>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Постійне населення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1169</w:t>
            </w:r>
            <w:r>
              <w:rPr>
                <w:lang w:val="en-US"/>
              </w:rPr>
              <w:t>87</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90</w:t>
            </w:r>
            <w:r>
              <w:rPr>
                <w:lang w:val="en-US"/>
              </w:rPr>
              <w:t>888</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260</w:t>
            </w:r>
            <w:r>
              <w:rPr>
                <w:lang w:val="en-US"/>
              </w:rPr>
              <w:t>09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2</w:t>
            </w:r>
            <w:r>
              <w:rPr>
                <w:lang w:val="en-US"/>
              </w:rPr>
              <w:t>2</w:t>
            </w:r>
            <w:r>
              <w:t>.</w:t>
            </w:r>
            <w:r>
              <w:rPr>
                <w:lang w:val="en-US"/>
              </w:rPr>
              <w:t>3</w:t>
            </w:r>
            <w:r>
              <w:t>1%</w:t>
            </w:r>
          </w:p>
        </w:tc>
      </w:tr>
      <w:tr w:rsidR="009C486D">
        <w:trPr>
          <w:trHeight w:val="402"/>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ВПО</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7896</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7057</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839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10.62%</w:t>
            </w:r>
          </w:p>
        </w:tc>
      </w:tr>
      <w:tr w:rsidR="009C486D">
        <w:trPr>
          <w:trHeight w:val="354"/>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Наявне населення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12479</w:t>
            </w:r>
            <w:r>
              <w:rPr>
                <w:lang w:val="en-US"/>
              </w:rPr>
              <w:t>3</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9</w:t>
            </w:r>
            <w:r>
              <w:rPr>
                <w:lang w:val="en-US"/>
              </w:rPr>
              <w:t>7945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268</w:t>
            </w:r>
            <w:r>
              <w:rPr>
                <w:lang w:val="en-US"/>
              </w:rPr>
              <w:t>48</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21.51%</w:t>
            </w:r>
          </w:p>
        </w:tc>
      </w:tr>
    </w:tbl>
    <w:p w:rsidR="009C486D" w:rsidRDefault="00D55960">
      <w:pPr>
        <w:pStyle w:val="3"/>
      </w:pPr>
      <w:bookmarkStart w:id="2" w:name="_heading=h.1fob9te"/>
      <w:bookmarkEnd w:id="2"/>
      <w:r>
        <w:t>5.3.2. Аналіз динаміки наявного населення та кількості учнів</w:t>
      </w:r>
    </w:p>
    <w:p w:rsidR="009C486D" w:rsidRDefault="00D55960">
      <w:pPr>
        <w:rPr>
          <w:smallCaps/>
        </w:rPr>
      </w:pPr>
      <w:bookmarkStart w:id="3" w:name="_heading=h.3znysh7"/>
      <w:bookmarkEnd w:id="3"/>
      <w:r>
        <w:t>Таблиця 5.3.2.1. Динаміка наявного населення (2022-2025 роки)</w:t>
      </w:r>
    </w:p>
    <w:tbl>
      <w:tblPr>
        <w:tblW w:w="9776" w:type="dxa"/>
        <w:tblInd w:w="5" w:type="dxa"/>
        <w:tblLook w:val="04A0" w:firstRow="1" w:lastRow="0" w:firstColumn="1" w:lastColumn="0" w:noHBand="0" w:noVBand="1"/>
      </w:tblPr>
      <w:tblGrid>
        <w:gridCol w:w="2373"/>
        <w:gridCol w:w="1296"/>
        <w:gridCol w:w="1296"/>
        <w:gridCol w:w="1414"/>
        <w:gridCol w:w="3397"/>
      </w:tblGrid>
      <w:tr w:rsidR="009C486D">
        <w:trPr>
          <w:trHeight w:val="455"/>
        </w:trPr>
        <w:tc>
          <w:tcPr>
            <w:tcW w:w="2374"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Категорія населення</w:t>
            </w:r>
          </w:p>
        </w:tc>
        <w:tc>
          <w:tcPr>
            <w:tcW w:w="1294"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01.01.2022</w:t>
            </w:r>
          </w:p>
        </w:tc>
        <w:tc>
          <w:tcPr>
            <w:tcW w:w="1295"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01.01.2026</w:t>
            </w:r>
          </w:p>
        </w:tc>
        <w:tc>
          <w:tcPr>
            <w:tcW w:w="1414"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осіб</w:t>
            </w:r>
          </w:p>
        </w:tc>
        <w:tc>
          <w:tcPr>
            <w:tcW w:w="3399"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w:t>
            </w:r>
          </w:p>
        </w:tc>
      </w:tr>
      <w:tr w:rsidR="009C486D">
        <w:trPr>
          <w:trHeight w:val="669"/>
        </w:trPr>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чисельність</w:t>
            </w:r>
          </w:p>
        </w:tc>
        <w:tc>
          <w:tcPr>
            <w:tcW w:w="12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120404</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124793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+438</w:t>
            </w:r>
            <w:r>
              <w:rPr>
                <w:rFonts w:ascii="Times New Roman" w:eastAsia="Times New Roman" w:hAnsi="Times New Roman" w:cs="Times New Roman"/>
                <w:sz w:val="24"/>
                <w:szCs w:val="24"/>
                <w:lang w:val="en-US"/>
              </w:rPr>
              <w:t>9</w:t>
            </w:r>
          </w:p>
        </w:tc>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r w:rsidR="009C486D">
        <w:trPr>
          <w:trHeight w:val="599"/>
        </w:trPr>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w:t>
            </w:r>
          </w:p>
        </w:tc>
        <w:tc>
          <w:tcPr>
            <w:tcW w:w="12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93882</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97</w:t>
            </w:r>
            <w:r>
              <w:rPr>
                <w:rFonts w:ascii="Times New Roman" w:eastAsia="Times New Roman" w:hAnsi="Times New Roman" w:cs="Times New Roman"/>
                <w:sz w:val="24"/>
                <w:szCs w:val="24"/>
                <w:lang w:val="en-US"/>
              </w:rPr>
              <w:t>945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4063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3%</w:t>
            </w:r>
          </w:p>
        </w:tc>
      </w:tr>
      <w:tr w:rsidR="009C486D">
        <w:trPr>
          <w:trHeight w:val="455"/>
        </w:trPr>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w:t>
            </w:r>
          </w:p>
        </w:tc>
        <w:tc>
          <w:tcPr>
            <w:tcW w:w="12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26522</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268</w:t>
            </w:r>
            <w:r>
              <w:rPr>
                <w:rFonts w:ascii="Times New Roman" w:eastAsia="Times New Roman" w:hAnsi="Times New Roman" w:cs="Times New Roman"/>
                <w:sz w:val="24"/>
                <w:szCs w:val="24"/>
                <w:lang w:val="en-US"/>
              </w:rPr>
              <w:t>48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26</w:t>
            </w:r>
          </w:p>
        </w:tc>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w:t>
            </w:r>
          </w:p>
        </w:tc>
      </w:tr>
    </w:tbl>
    <w:p w:rsidR="009C486D" w:rsidRDefault="009C486D">
      <w:bookmarkStart w:id="4" w:name="_heading=h.2et92p0"/>
      <w:bookmarkEnd w:id="4"/>
    </w:p>
    <w:p w:rsidR="009C486D" w:rsidRDefault="00D55960">
      <w:pPr>
        <w:rPr>
          <w:smallCaps/>
        </w:rPr>
      </w:pPr>
      <w:r>
        <w:lastRenderedPageBreak/>
        <w:t>Таблиця 5.3.2.2. Динаміка кількості учнів (2022-2026 навчальні роки)</w:t>
      </w:r>
    </w:p>
    <w:tbl>
      <w:tblPr>
        <w:tblW w:w="9913" w:type="dxa"/>
        <w:tblInd w:w="5" w:type="dxa"/>
        <w:tblLook w:val="04A0" w:firstRow="1" w:lastRow="0" w:firstColumn="1" w:lastColumn="0" w:noHBand="0" w:noVBand="1"/>
      </w:tblPr>
      <w:tblGrid>
        <w:gridCol w:w="2257"/>
        <w:gridCol w:w="1275"/>
        <w:gridCol w:w="1276"/>
        <w:gridCol w:w="1559"/>
        <w:gridCol w:w="3546"/>
      </w:tblGrid>
      <w:tr w:rsidR="009C486D">
        <w:trPr>
          <w:trHeight w:val="455"/>
        </w:trPr>
        <w:tc>
          <w:tcPr>
            <w:tcW w:w="2257"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Категорія шкіл</w:t>
            </w:r>
          </w:p>
        </w:tc>
        <w:tc>
          <w:tcPr>
            <w:tcW w:w="1275"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p>
        </w:tc>
        <w:tc>
          <w:tcPr>
            <w:tcW w:w="1276"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2025-2026</w:t>
            </w:r>
          </w:p>
        </w:tc>
        <w:tc>
          <w:tcPr>
            <w:tcW w:w="1559"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учнів</w:t>
            </w:r>
          </w:p>
        </w:tc>
        <w:tc>
          <w:tcPr>
            <w:tcW w:w="3546"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w:t>
            </w:r>
          </w:p>
        </w:tc>
      </w:tr>
      <w:tr w:rsidR="009C486D">
        <w:trPr>
          <w:trHeight w:val="455"/>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Міські школи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10509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9262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-1247</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-11.87%</w:t>
            </w:r>
          </w:p>
        </w:tc>
      </w:tr>
      <w:tr w:rsidR="009C486D">
        <w:trPr>
          <w:trHeight w:val="455"/>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Сільські школи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1713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9C486D">
        <w:trPr>
          <w:trHeight w:val="455"/>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Загалом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12478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10975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-1503</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-12.05%</w:t>
            </w:r>
          </w:p>
        </w:tc>
      </w:tr>
    </w:tbl>
    <w:p w:rsidR="009C486D" w:rsidRDefault="009C486D">
      <w:bookmarkStart w:id="5" w:name="_heading=h.tyjcwt"/>
      <w:bookmarkEnd w:id="5"/>
    </w:p>
    <w:p w:rsidR="009C486D" w:rsidRDefault="00D55960">
      <w:pPr>
        <w:rPr>
          <w:smallCaps/>
        </w:rPr>
      </w:pPr>
      <w:r>
        <w:t>Таблиця 5.3.2.3. Порівняння відсотків населення та учнів</w:t>
      </w:r>
    </w:p>
    <w:tbl>
      <w:tblPr>
        <w:tblW w:w="9638" w:type="dxa"/>
        <w:tblInd w:w="5" w:type="dxa"/>
        <w:tblLook w:val="04A0" w:firstRow="1" w:lastRow="0" w:firstColumn="1" w:lastColumn="0" w:noHBand="0" w:noVBand="1"/>
      </w:tblPr>
      <w:tblGrid>
        <w:gridCol w:w="1411"/>
        <w:gridCol w:w="1847"/>
        <w:gridCol w:w="2076"/>
        <w:gridCol w:w="2150"/>
        <w:gridCol w:w="2154"/>
      </w:tblGrid>
      <w:tr w:rsidR="009C486D">
        <w:trPr>
          <w:trHeight w:val="695"/>
        </w:trPr>
        <w:tc>
          <w:tcPr>
            <w:tcW w:w="1411"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Категорія</w:t>
            </w:r>
          </w:p>
        </w:tc>
        <w:tc>
          <w:tcPr>
            <w:tcW w:w="1847"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населення (2022)</w:t>
            </w:r>
          </w:p>
        </w:tc>
        <w:tc>
          <w:tcPr>
            <w:tcW w:w="2076"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населення (2025)</w:t>
            </w:r>
          </w:p>
        </w:tc>
        <w:tc>
          <w:tcPr>
            <w:tcW w:w="2150"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учнів (2022-2023)</w:t>
            </w:r>
          </w:p>
        </w:tc>
        <w:tc>
          <w:tcPr>
            <w:tcW w:w="2154"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учнів (2025-2026)</w:t>
            </w:r>
          </w:p>
        </w:tc>
      </w:tr>
      <w:tr w:rsidR="009C486D">
        <w:trPr>
          <w:trHeight w:val="455"/>
        </w:trPr>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77.97%</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69</w:t>
            </w:r>
            <w:r>
              <w:rPr>
                <w:rFonts w:ascii="Times New Roman" w:eastAsia="Times New Roman" w:hAnsi="Times New Roman" w:cs="Times New Roman"/>
                <w:sz w:val="24"/>
                <w:szCs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84.22%</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84.39%</w:t>
            </w:r>
          </w:p>
        </w:tc>
      </w:tr>
      <w:tr w:rsidR="009C486D">
        <w:trPr>
          <w:trHeight w:val="455"/>
        </w:trPr>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22.03%</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31</w:t>
            </w:r>
            <w:r>
              <w:rPr>
                <w:rFonts w:ascii="Times New Roman" w:eastAsia="Times New Roman" w:hAnsi="Times New Roman" w:cs="Times New Roman"/>
                <w:sz w:val="24"/>
                <w:szCs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15.78%</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15.61%</w:t>
            </w:r>
          </w:p>
        </w:tc>
      </w:tr>
    </w:tbl>
    <w:p w:rsidR="009C486D" w:rsidRDefault="00D5596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даних показує:</w:t>
      </w:r>
    </w:p>
    <w:p w:rsidR="009C486D" w:rsidRDefault="00D55960">
      <w:pPr>
        <w:numPr>
          <w:ilvl w:val="0"/>
          <w:numId w:val="10"/>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наявного населення:</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чисельність населення зросла на 3.64%</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 зросло на 4.</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3%</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 зросло на 1.2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w:t>
      </w:r>
    </w:p>
    <w:p w:rsidR="009C486D" w:rsidRDefault="00D55960">
      <w:pPr>
        <w:numPr>
          <w:ilvl w:val="0"/>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Зменшення кількості учнів:</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кількість учнів зменшилась на 12.05%</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учнів у міських школах зменшилась на 11.87%</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учнів у сільських школах зменшилась на 13%</w:t>
      </w:r>
    </w:p>
    <w:p w:rsidR="009C486D" w:rsidRDefault="00D55960">
      <w:pPr>
        <w:numPr>
          <w:ilvl w:val="0"/>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Порівняння відсотків:</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сільського населення незначно зменшилась (з 22.03% до 21.5</w:t>
      </w:r>
      <w:r w:rsidRPr="00531DDE">
        <w:rPr>
          <w:rFonts w:ascii="Times New Roman" w:eastAsia="Times New Roman" w:hAnsi="Times New Roman" w:cs="Times New Roman"/>
          <w:sz w:val="24"/>
          <w:szCs w:val="24"/>
          <w:lang w:val="ru-RU"/>
        </w:rPr>
        <w:t>1</w:t>
      </w:r>
      <w:r>
        <w:rPr>
          <w:rFonts w:ascii="Times New Roman" w:eastAsia="Times New Roman" w:hAnsi="Times New Roman" w:cs="Times New Roman"/>
          <w:sz w:val="24"/>
          <w:szCs w:val="24"/>
        </w:rPr>
        <w:t>%)</w:t>
      </w:r>
    </w:p>
    <w:p w:rsidR="009C486D" w:rsidRDefault="00D55960">
      <w:pPr>
        <w:numPr>
          <w:ilvl w:val="1"/>
          <w:numId w:val="10"/>
        </w:numPr>
        <w:spacing w:before="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учнів у сільських школах незначно зменшилась  (з 15.78% до 15.61%)</w:t>
      </w:r>
    </w:p>
    <w:p w:rsidR="009C486D" w:rsidRDefault="00D55960">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Висновки:</w:t>
      </w:r>
    </w:p>
    <w:p w:rsidR="009C486D" w:rsidRDefault="00D55960">
      <w:pPr>
        <w:numPr>
          <w:ilvl w:val="0"/>
          <w:numId w:val="11"/>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Спостерігається загальне зростання наявного населення, при цьому міське населення зростає швидше, ніж сільське.</w:t>
      </w:r>
    </w:p>
    <w:p w:rsidR="009C486D" w:rsidRDefault="00D55960">
      <w:pPr>
        <w:numPr>
          <w:ilvl w:val="0"/>
          <w:numId w:val="1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Попри зростання населення, кількість учнів зменшується, що може свідчити про зміни у віковій структурі населення.</w:t>
      </w:r>
    </w:p>
    <w:p w:rsidR="009C486D" w:rsidRDefault="00D55960">
      <w:pPr>
        <w:numPr>
          <w:ilvl w:val="0"/>
          <w:numId w:val="1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Темпи зменшення кількості учнів у сільських школах нижчі, ніж у міських, що призвело до збільшення частки учнів сільських шкіл.</w:t>
      </w:r>
    </w:p>
    <w:p w:rsidR="009C486D" w:rsidRDefault="00D55960">
      <w:pPr>
        <w:numPr>
          <w:ilvl w:val="0"/>
          <w:numId w:val="11"/>
        </w:numPr>
        <w:spacing w:before="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Існує суттєва різниця між часткою сільського населення (21.51%) та часткою учнів у сільських школах (15.61%), що підкреслює важливість використання показника </w:t>
      </w:r>
      <w:r>
        <w:rPr>
          <w:rFonts w:ascii="Times New Roman" w:eastAsia="Times New Roman" w:hAnsi="Times New Roman" w:cs="Times New Roman"/>
          <w:sz w:val="24"/>
          <w:szCs w:val="24"/>
        </w:rPr>
        <w:lastRenderedPageBreak/>
        <w:t>кількості учнів, а не загальної чисельності населення при розрахунку освітньої субвенції.</w:t>
      </w:r>
    </w:p>
    <w:p w:rsidR="009C486D" w:rsidRDefault="00D5596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Ці дані підтверджують необхідність перегляду формули розрахунку освітньої субвенції з урахуванням реальної кількості учнів, а не загальної чисельності населення.</w:t>
      </w:r>
    </w:p>
    <w:p w:rsidR="009C486D" w:rsidRDefault="00D55960">
      <w:pPr>
        <w:pStyle w:val="1"/>
      </w:pPr>
      <w:r>
        <w:t>6. Висновки та рекомендації</w:t>
      </w:r>
    </w:p>
    <w:p w:rsidR="009C486D" w:rsidRDefault="00D55960">
      <w:pPr>
        <w:pStyle w:val="2"/>
      </w:pPr>
      <w:r>
        <w:t>6.1 Висновки</w:t>
      </w:r>
    </w:p>
    <w:p w:rsidR="009C486D" w:rsidRDefault="00D55960">
      <w:pPr>
        <w:spacing w:before="240" w:after="240" w:line="240" w:lineRule="auto"/>
        <w:rPr>
          <w:rFonts w:ascii="Times New Roman" w:eastAsia="Times New Roman" w:hAnsi="Times New Roman" w:cs="Times New Roman"/>
          <w:sz w:val="24"/>
          <w:szCs w:val="24"/>
        </w:rPr>
      </w:pPr>
      <w:bookmarkStart w:id="6" w:name="_heading=h.17dp8vu"/>
      <w:bookmarkEnd w:id="6"/>
      <w:r>
        <w:rPr>
          <w:rFonts w:ascii="Times New Roman" w:eastAsia="Times New Roman" w:hAnsi="Times New Roman" w:cs="Times New Roman"/>
          <w:sz w:val="24"/>
          <w:szCs w:val="24"/>
        </w:rPr>
        <w:t>На основі проведеного аналізу демографічної ситуації та освітніх показників у Дрогобицькій міській територіальній громаді можна зробити наступні висновки:</w:t>
      </w:r>
    </w:p>
    <w:p w:rsidR="009C486D" w:rsidRDefault="00D55960">
      <w:pPr>
        <w:numPr>
          <w:ilvl w:val="0"/>
          <w:numId w:val="12"/>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Загальна демографічна ситуація:</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1 вересня 2024 року наявна чисельність населення громади становить 126488 осіб, що на 5.05% більше порівняно з початком 2022 року.</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Спостерігається тенденція до більш інтенсивного зростання міського населення (5.67%) порівняно з сільським (2.87%).</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Розподіл населення:</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 (м. Дрогобич та м. Стебник) складає 98003 осіб (78.43%).</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 складає 27282 особи (21.57%).</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Динаміка змін у сфері освіти:</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кількість учнів зменшилась на 7.48% з 2022 по 2025 навчальний рік.</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учнів у міських школах зменшилась на 7.90%, а у сільських - на 5.23%.</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учнів у сільських школах зросла з 15.78% до 16.16%, незважаючи на зменшення частки сільського населення.</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Невідповідність демографічних та освітніх показників:</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Існує суттєва різниця між часткою сільського населення (21.57%) та часткою учнів у сільських школах (16.16%).</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населення супроводжується зменшенням кількості учнів, що вказує на зміни у віковій структурі населення.</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Вплив внутрішньо переміщених осіб (ВПО):</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Присутність ВПО значно вплинула на демографічну картину, збільшивши загальну чисельність населення.</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Розподіл ВПО між міськими та сільськими територіями вплинув на загальну демографічну структуру.</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Методологічні висновки:</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даних про кількість учнів як індикатора для розрахунку освітньої субвенції є більш точним, ніж використання загальної чисельності населення.</w:t>
      </w:r>
    </w:p>
    <w:p w:rsidR="009C486D" w:rsidRDefault="00D55960">
      <w:pPr>
        <w:numPr>
          <w:ilvl w:val="1"/>
          <w:numId w:val="12"/>
        </w:numPr>
        <w:spacing w:before="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Необхідність регулярного оновлення демографічних та освітніх показників для адекватного планування та розподілу ресурсів.</w:t>
      </w:r>
    </w:p>
    <w:p w:rsidR="009C486D" w:rsidRDefault="00D55960">
      <w:pPr>
        <w:pStyle w:val="2"/>
      </w:pPr>
      <w:bookmarkStart w:id="7" w:name="_heading=h.3rdcrjn"/>
      <w:bookmarkEnd w:id="7"/>
      <w:r>
        <w:t>6.2 Рекомендації</w:t>
      </w:r>
    </w:p>
    <w:p w:rsidR="009C486D" w:rsidRDefault="00D55960" w:rsidP="00531DD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основі проведеного аналізу та зроблених висновків, пропонуються наступні рекомендації:</w:t>
      </w:r>
    </w:p>
    <w:p w:rsidR="009C486D" w:rsidRDefault="00D55960" w:rsidP="00531DDE">
      <w:pPr>
        <w:numPr>
          <w:ilvl w:val="0"/>
          <w:numId w:val="13"/>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Перегляд формули розрахунку освітньої субвенції:</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використовувати показник відсотка учнів сільських шкіл замість відсотка сільського населення при розрахунку освітньої субвенції.</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Ініціювати обговорення цієї пропозиції на рівні Міністерства освіти і науки України.</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Стратегічне планування розвитку громади: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Враховувати різницю між демографічними показниками та кількістю учнів при плануванні розвитку освітньої інфраструктури.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окремі стратегії розвитку для міських та сільських шкіл, враховуючи різницю в динаміці змін.</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Оптимізація освітньої мережі:</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аналіз ефективності використання освітніх ресурсів у міських та сільських школах.</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Розглянути можливості оптимізації шкільної мережі з урахуванням демографічних тенденцій та освітніх потреб.</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Підвищення якості освіти в сільських школах:</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програми підтримки сільських шкіл для підвищення їх привабливості та конкурентоспроможності.</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Впроваджувати інноваційні освітні технології та методики для забезпечення якісної освіти в сільських школах.</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Моніторинг демографічної ситуації та освітніх показників:</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Впровадити систему регулярного моніторингу демографічних показників та кількості учнів.</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Проводити щорічний аналіз впливу демографічних змін на освітню сферу громади.</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Інтеграція ВПО:</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програми інтеграції дітей ВПО в освітній процес, враховуючи їх особливі потреби.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рівний доступ до якісної освіти для всіх дітей, незалежно від їх статусу.</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Розвиток інфраструктури: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Інвестувати в розвиток освітньої інфраструктури відповідно до змін у кількості та розподілі учнів.</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Покращити транспортне сполучення для забезпечення доступності освіти, особливо в сільській місцевості.</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Фінансове планування:</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Адаптувати бюджетне планування відповідно до реальних освітніх потреб, базуючись на кількості учнів, а не на загальній чисельності населення.</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механізми гнучкого фінансування, які дозволять оперативно реагувати на зміни в освітній сфері.</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Професійний розвиток педагогів:</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програми професійного розвитку для вчителів, особливо в сільських школах, для підвищення якості освіти.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Створити стимули для залучення кваліфікованих педагогів у сільські школи.</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Комунікація з громадою:</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прозору комунікацію з громадою щодо демографічних змін та їх впливу на освітню сферу.</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Залучати громаду до процесу прийняття рішень щодо розвитку освіти в регіоні.</w:t>
      </w:r>
    </w:p>
    <w:p w:rsidR="009C486D" w:rsidRDefault="009C486D" w:rsidP="00531DDE">
      <w:pPr>
        <w:spacing w:line="240" w:lineRule="auto"/>
        <w:ind w:left="1440"/>
        <w:jc w:val="both"/>
      </w:pPr>
    </w:p>
    <w:p w:rsidR="00531DDE" w:rsidRDefault="00531DDE" w:rsidP="00531DDE">
      <w:pPr>
        <w:spacing w:line="240" w:lineRule="auto"/>
        <w:ind w:left="1440"/>
      </w:pPr>
    </w:p>
    <w:p w:rsidR="00531DDE" w:rsidRPr="00531DDE" w:rsidRDefault="00531DDE" w:rsidP="00531DDE">
      <w:pPr>
        <w:jc w:val="center"/>
        <w:rPr>
          <w:rFonts w:ascii="Times New Roman" w:hAnsi="Times New Roman" w:cs="Times New Roman"/>
          <w:b/>
          <w:sz w:val="28"/>
          <w:szCs w:val="28"/>
        </w:rPr>
      </w:pPr>
      <w:r w:rsidRPr="00531DDE">
        <w:rPr>
          <w:rFonts w:ascii="Times New Roman" w:hAnsi="Times New Roman" w:cs="Times New Roman"/>
          <w:b/>
          <w:sz w:val="28"/>
          <w:szCs w:val="28"/>
        </w:rPr>
        <w:t>Керуючий справами виконкому</w:t>
      </w:r>
      <w:r w:rsidRPr="00531DDE">
        <w:rPr>
          <w:rFonts w:ascii="Times New Roman" w:hAnsi="Times New Roman" w:cs="Times New Roman"/>
          <w:b/>
          <w:sz w:val="28"/>
          <w:szCs w:val="28"/>
        </w:rPr>
        <w:tab/>
      </w:r>
      <w:r w:rsidRPr="00531DDE">
        <w:rPr>
          <w:rFonts w:ascii="Times New Roman" w:hAnsi="Times New Roman" w:cs="Times New Roman"/>
          <w:b/>
          <w:sz w:val="28"/>
          <w:szCs w:val="28"/>
        </w:rPr>
        <w:tab/>
      </w:r>
      <w:r w:rsidRPr="00531DDE">
        <w:rPr>
          <w:rFonts w:ascii="Times New Roman" w:hAnsi="Times New Roman" w:cs="Times New Roman"/>
          <w:b/>
          <w:sz w:val="28"/>
          <w:szCs w:val="28"/>
        </w:rPr>
        <w:tab/>
        <w:t xml:space="preserve">  Віталій ВОВКІВ</w:t>
      </w:r>
    </w:p>
    <w:p w:rsidR="00531DDE" w:rsidRDefault="00531DDE" w:rsidP="00531DDE">
      <w:pPr>
        <w:spacing w:before="0" w:after="280" w:line="240" w:lineRule="auto"/>
        <w:rPr>
          <w:rFonts w:ascii="Times New Roman" w:eastAsia="Times New Roman" w:hAnsi="Times New Roman" w:cs="Times New Roman"/>
          <w:b/>
          <w:bCs/>
          <w:sz w:val="24"/>
          <w:szCs w:val="24"/>
        </w:rPr>
      </w:pPr>
    </w:p>
    <w:p w:rsidR="00531DDE" w:rsidRDefault="00531DDE" w:rsidP="00531DDE">
      <w:pPr>
        <w:spacing w:line="240" w:lineRule="auto"/>
        <w:ind w:left="1440"/>
      </w:pPr>
    </w:p>
    <w:p w:rsidR="00531DDE" w:rsidRDefault="00531DDE" w:rsidP="00531DDE">
      <w:pPr>
        <w:spacing w:line="240" w:lineRule="auto"/>
        <w:ind w:left="1440"/>
      </w:pPr>
    </w:p>
    <w:p w:rsidR="00531DDE" w:rsidRDefault="00531DDE" w:rsidP="00531DDE">
      <w:pPr>
        <w:spacing w:line="240" w:lineRule="auto"/>
        <w:ind w:left="1440"/>
      </w:pPr>
    </w:p>
    <w:p w:rsidR="00531DDE" w:rsidRDefault="00531DDE" w:rsidP="00531DDE">
      <w:pPr>
        <w:spacing w:before="0" w:after="0"/>
        <w:jc w:val="both"/>
        <w:rPr>
          <w:rFonts w:ascii="Times New Roman" w:hAnsi="Times New Roman" w:cs="Times New Roman"/>
          <w:sz w:val="28"/>
          <w:szCs w:val="28"/>
        </w:rPr>
      </w:pPr>
    </w:p>
    <w:p w:rsidR="00531DDE" w:rsidRPr="005B165C" w:rsidRDefault="00531DDE" w:rsidP="00531DDE">
      <w:pPr>
        <w:spacing w:before="0" w:after="0"/>
        <w:jc w:val="both"/>
        <w:rPr>
          <w:rFonts w:ascii="Times New Roman" w:hAnsi="Times New Roman" w:cs="Times New Roman"/>
          <w:b/>
          <w:sz w:val="28"/>
          <w:szCs w:val="28"/>
        </w:rPr>
      </w:pPr>
      <w:r w:rsidRPr="005B165C">
        <w:rPr>
          <w:rFonts w:ascii="Times New Roman" w:hAnsi="Times New Roman" w:cs="Times New Roman"/>
          <w:b/>
          <w:sz w:val="28"/>
          <w:szCs w:val="28"/>
        </w:rPr>
        <w:t xml:space="preserve">Начальник  управління інвестицій </w:t>
      </w:r>
    </w:p>
    <w:p w:rsidR="00531DDE" w:rsidRPr="005B165C" w:rsidRDefault="00531DDE" w:rsidP="00531DDE">
      <w:pPr>
        <w:spacing w:before="0" w:after="0"/>
        <w:jc w:val="both"/>
        <w:rPr>
          <w:rFonts w:ascii="Times New Roman" w:hAnsi="Times New Roman" w:cs="Times New Roman"/>
          <w:b/>
          <w:sz w:val="28"/>
          <w:szCs w:val="28"/>
        </w:rPr>
      </w:pPr>
      <w:r w:rsidRPr="005B165C">
        <w:rPr>
          <w:rFonts w:ascii="Times New Roman" w:hAnsi="Times New Roman" w:cs="Times New Roman"/>
          <w:b/>
          <w:sz w:val="28"/>
          <w:szCs w:val="28"/>
        </w:rPr>
        <w:t>та економічного розвитку</w:t>
      </w:r>
      <w:r w:rsidRPr="005B165C">
        <w:rPr>
          <w:rFonts w:ascii="Times New Roman" w:hAnsi="Times New Roman" w:cs="Times New Roman"/>
          <w:b/>
          <w:sz w:val="28"/>
          <w:szCs w:val="28"/>
        </w:rPr>
        <w:tab/>
      </w:r>
      <w:r w:rsidRPr="005B165C">
        <w:rPr>
          <w:rFonts w:ascii="Times New Roman" w:hAnsi="Times New Roman" w:cs="Times New Roman"/>
          <w:b/>
          <w:sz w:val="28"/>
          <w:szCs w:val="28"/>
        </w:rPr>
        <w:tab/>
      </w:r>
      <w:r w:rsidRPr="005B165C">
        <w:rPr>
          <w:rFonts w:ascii="Times New Roman" w:hAnsi="Times New Roman" w:cs="Times New Roman"/>
          <w:b/>
          <w:sz w:val="28"/>
          <w:szCs w:val="28"/>
        </w:rPr>
        <w:tab/>
      </w:r>
      <w:r w:rsidRPr="005B165C">
        <w:rPr>
          <w:rFonts w:ascii="Times New Roman" w:hAnsi="Times New Roman" w:cs="Times New Roman"/>
          <w:b/>
          <w:sz w:val="28"/>
          <w:szCs w:val="28"/>
        </w:rPr>
        <w:tab/>
      </w:r>
      <w:r w:rsidRPr="005B165C">
        <w:rPr>
          <w:rFonts w:ascii="Times New Roman" w:hAnsi="Times New Roman" w:cs="Times New Roman"/>
          <w:b/>
          <w:sz w:val="28"/>
          <w:szCs w:val="28"/>
        </w:rPr>
        <w:tab/>
      </w:r>
      <w:r w:rsidRPr="005B165C">
        <w:rPr>
          <w:rFonts w:ascii="Times New Roman" w:hAnsi="Times New Roman" w:cs="Times New Roman"/>
          <w:b/>
          <w:sz w:val="28"/>
          <w:szCs w:val="28"/>
        </w:rPr>
        <w:tab/>
        <w:t xml:space="preserve">Леся ЛАЗУНДА                 </w:t>
      </w:r>
    </w:p>
    <w:p w:rsidR="00531DDE" w:rsidRPr="005B165C" w:rsidRDefault="00531DDE" w:rsidP="00531DDE">
      <w:pPr>
        <w:spacing w:before="0" w:after="280" w:line="240" w:lineRule="auto"/>
        <w:rPr>
          <w:rFonts w:ascii="Times New Roman" w:eastAsia="Times New Roman" w:hAnsi="Times New Roman" w:cs="Times New Roman"/>
          <w:b/>
          <w:bCs/>
          <w:sz w:val="24"/>
          <w:szCs w:val="24"/>
        </w:rPr>
      </w:pPr>
    </w:p>
    <w:p w:rsidR="00531DDE" w:rsidRPr="005B165C" w:rsidRDefault="00531DDE" w:rsidP="00531DDE">
      <w:pPr>
        <w:pStyle w:val="af0"/>
        <w:spacing w:before="0" w:beforeAutospacing="0" w:after="0" w:afterAutospacing="0"/>
        <w:rPr>
          <w:b/>
          <w:sz w:val="28"/>
          <w:szCs w:val="28"/>
        </w:rPr>
      </w:pPr>
      <w:r w:rsidRPr="005B165C">
        <w:rPr>
          <w:b/>
          <w:sz w:val="28"/>
          <w:szCs w:val="28"/>
        </w:rPr>
        <w:t>Директор КУ «Інститут міста»</w:t>
      </w:r>
      <w:r w:rsidRPr="005B165C">
        <w:rPr>
          <w:b/>
          <w:sz w:val="28"/>
          <w:szCs w:val="28"/>
        </w:rPr>
        <w:tab/>
      </w:r>
      <w:r w:rsidRPr="005B165C">
        <w:rPr>
          <w:b/>
          <w:sz w:val="28"/>
          <w:szCs w:val="28"/>
        </w:rPr>
        <w:tab/>
      </w:r>
      <w:r w:rsidRPr="005B165C">
        <w:rPr>
          <w:b/>
          <w:sz w:val="28"/>
          <w:szCs w:val="28"/>
        </w:rPr>
        <w:tab/>
      </w:r>
      <w:r w:rsidRPr="005B165C">
        <w:rPr>
          <w:b/>
          <w:sz w:val="28"/>
          <w:szCs w:val="28"/>
          <w:lang w:val="uk-UA"/>
        </w:rPr>
        <w:t xml:space="preserve"> </w:t>
      </w:r>
      <w:r w:rsidRPr="005B165C">
        <w:rPr>
          <w:b/>
          <w:sz w:val="28"/>
          <w:szCs w:val="28"/>
        </w:rPr>
        <w:t>Володимир КОНДЗЬОЛКА</w:t>
      </w:r>
    </w:p>
    <w:p w:rsidR="00531DDE" w:rsidRPr="005B165C" w:rsidRDefault="00531DDE" w:rsidP="00531DDE">
      <w:pPr>
        <w:spacing w:line="240" w:lineRule="auto"/>
        <w:ind w:left="1440"/>
        <w:rPr>
          <w:b/>
          <w:lang w:val="ru-RU"/>
        </w:rPr>
      </w:pPr>
      <w:bookmarkStart w:id="8" w:name="_GoBack"/>
      <w:bookmarkEnd w:id="8"/>
    </w:p>
    <w:sectPr w:rsidR="00531DDE" w:rsidRPr="005B165C">
      <w:pgSz w:w="11906" w:h="16838"/>
      <w:pgMar w:top="850" w:right="850" w:bottom="850" w:left="1417" w:header="0" w:footer="0" w:gutter="0"/>
      <w:pgNumType w:start="1"/>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A56" w:rsidRDefault="006A0A56">
      <w:pPr>
        <w:spacing w:line="240" w:lineRule="auto"/>
      </w:pPr>
      <w:r>
        <w:separator/>
      </w:r>
    </w:p>
  </w:endnote>
  <w:endnote w:type="continuationSeparator" w:id="0">
    <w:p w:rsidR="006A0A56" w:rsidRDefault="006A0A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Noto Sans"/>
    <w:charset w:val="00"/>
    <w:family w:val="auto"/>
    <w:pitch w:val="default"/>
    <w:sig w:usb0="00000003" w:usb1="00000000" w:usb2="00000000" w:usb3="00000000" w:csb0="00000001" w:csb1="00000000"/>
    <w:embedRegular r:id="rId1" w:fontKey="{6EF0B023-1FFC-4EC9-BBE3-5E8074980947}"/>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2" w:fontKey="{64736D72-C077-49B4-B994-E455D9894F1B}"/>
  </w:font>
  <w:font w:name="Aptos">
    <w:altName w:val="Liberation Mono"/>
    <w:charset w:val="00"/>
    <w:family w:val="swiss"/>
    <w:pitch w:val="variable"/>
    <w:sig w:usb0="20000287" w:usb1="00000003" w:usb2="00000000" w:usb3="00000000" w:csb0="0000019F" w:csb1="00000000"/>
    <w:embedRegular r:id="rId3" w:fontKey="{22FA0293-3EAA-4248-8B5D-D77F5CA5C4F5}"/>
    <w:embedBold r:id="rId4" w:fontKey="{42A2D888-445E-4FB0-B0AA-C7E7876074C9}"/>
    <w:embedItalic r:id="rId5" w:fontKey="{E547018E-763D-4136-9B44-834C83841387}"/>
  </w:font>
  <w:font w:name="Arial">
    <w:panose1 w:val="020B0604020202020204"/>
    <w:charset w:val="CC"/>
    <w:family w:val="swiss"/>
    <w:pitch w:val="variable"/>
    <w:sig w:usb0="E0002EFF" w:usb1="C000785B" w:usb2="00000009" w:usb3="00000000" w:csb0="000001FF" w:csb1="00000000"/>
  </w:font>
  <w:font w:name="Play">
    <w:altName w:val="Liberation Mono"/>
    <w:charset w:val="00"/>
    <w:family w:val="auto"/>
    <w:pitch w:val="default"/>
    <w:embedRegular r:id="rId6" w:fontKey="{7699A08B-3FE8-4BA4-B553-AD53F80563F4}"/>
  </w:font>
  <w:font w:name="Liberation Sans">
    <w:charset w:val="CC"/>
    <w:family w:val="swiss"/>
    <w:pitch w:val="variable"/>
    <w:sig w:usb0="E0000AFF" w:usb1="500078FF" w:usb2="00000021" w:usb3="00000000" w:csb0="000001BF" w:csb1="00000000"/>
    <w:embedRegular r:id="rId7" w:fontKey="{E1FCD9A0-21D4-4F1C-9BB1-AE0DB18EA912}"/>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embedRegular r:id="rId8" w:fontKey="{AA60B9FA-8618-41AE-81F3-C98C1857A891}"/>
  </w:font>
  <w:font w:name="Cambria">
    <w:panose1 w:val="02040503050406030204"/>
    <w:charset w:val="CC"/>
    <w:family w:val="roman"/>
    <w:pitch w:val="variable"/>
    <w:sig w:usb0="E00006FF" w:usb1="420024FF" w:usb2="02000000" w:usb3="00000000" w:csb0="0000019F" w:csb1="00000000"/>
    <w:embedRegular r:id="rId9" w:fontKey="{055F0A65-1501-48A7-864B-EC5B9097D66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embedRegular r:id="rId10" w:fontKey="{DB220076-5DA4-44FE-9F12-246EEA60045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A56" w:rsidRDefault="006A0A56">
      <w:pPr>
        <w:spacing w:before="0" w:after="0"/>
      </w:pPr>
      <w:r>
        <w:separator/>
      </w:r>
    </w:p>
  </w:footnote>
  <w:footnote w:type="continuationSeparator" w:id="0">
    <w:p w:rsidR="006A0A56" w:rsidRDefault="006A0A56">
      <w:pPr>
        <w:spacing w:before="0" w:after="0"/>
      </w:pPr>
      <w:r>
        <w:continuationSeparator/>
      </w:r>
    </w:p>
  </w:footnote>
  <w:footnote w:id="1">
    <w:p w:rsidR="005B165C" w:rsidRDefault="005B165C">
      <w:pPr>
        <w:spacing w:after="0" w:line="240" w:lineRule="auto"/>
      </w:pPr>
      <w:r>
        <w:rPr>
          <w:rStyle w:val="a9"/>
        </w:rPr>
        <w:footnoteRef/>
      </w:r>
      <w:r>
        <w:rPr>
          <w:color w:val="000000"/>
        </w:rPr>
        <w:t xml:space="preserve"> https://www.ukrstat.gov.ua/operativ/open_data/2022/225_2022.xlsx</w:t>
      </w:r>
    </w:p>
  </w:footnote>
  <w:footnote w:id="2">
    <w:p w:rsidR="005B165C" w:rsidRDefault="005B165C">
      <w:pPr>
        <w:spacing w:after="0" w:line="240" w:lineRule="auto"/>
      </w:pPr>
      <w:r>
        <w:rPr>
          <w:rStyle w:val="a9"/>
        </w:rPr>
        <w:footnoteRef/>
      </w:r>
      <w:r>
        <w:rPr>
          <w:color w:val="000000"/>
        </w:rPr>
        <w:t xml:space="preserve"> Довідка Відділу охорони здоров’я Дрогобицької міської ради</w:t>
      </w:r>
    </w:p>
  </w:footnote>
  <w:footnote w:id="3">
    <w:p w:rsidR="005B165C" w:rsidRDefault="005B165C">
      <w:pPr>
        <w:spacing w:after="0" w:line="240" w:lineRule="auto"/>
      </w:pPr>
      <w:r>
        <w:rPr>
          <w:rStyle w:val="a9"/>
        </w:rPr>
        <w:footnoteRef/>
      </w:r>
      <w:r>
        <w:rPr>
          <w:color w:val="000000"/>
        </w:rPr>
        <w:t xml:space="preserve"> Довідка відділу освіти</w:t>
      </w:r>
    </w:p>
  </w:footnote>
  <w:footnote w:id="4">
    <w:p w:rsidR="005B165C" w:rsidRDefault="005B165C">
      <w:pPr>
        <w:spacing w:after="0" w:line="240" w:lineRule="auto"/>
      </w:pPr>
      <w:r>
        <w:rPr>
          <w:rStyle w:val="a9"/>
        </w:rPr>
        <w:footnoteRef/>
      </w:r>
      <w:r>
        <w:rPr>
          <w:color w:val="000000"/>
        </w:rPr>
        <w:t xml:space="preserve"> Довідка управління соціального захисту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B5E306ED"/>
    <w:multiLevelType w:val="multilevel"/>
    <w:tmpl w:val="B5E306ED"/>
    <w:lvl w:ilvl="0">
      <w:start w:val="1"/>
      <w:numFmt w:val="bullet"/>
      <w:lvlText w:val="●"/>
      <w:lvlJc w:val="left"/>
      <w:pPr>
        <w:ind w:left="720" w:hanging="360"/>
      </w:pPr>
      <w:rPr>
        <w:rFonts w:ascii="Noto Sans Symbols" w:hAnsi="Noto Sans Symbols" w:cs="Noto Sans Symbols" w:hint="default"/>
        <w:sz w:val="24"/>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hAnsi="Noto Sans Symbols" w:cs="Noto Sans Symbols" w:hint="default"/>
        <w:sz w:val="20"/>
        <w:szCs w:val="20"/>
      </w:rPr>
    </w:lvl>
    <w:lvl w:ilvl="3">
      <w:start w:val="1"/>
      <w:numFmt w:val="bullet"/>
      <w:lvlText w:val="▪"/>
      <w:lvlJc w:val="left"/>
      <w:pPr>
        <w:ind w:left="2880" w:hanging="360"/>
      </w:pPr>
      <w:rPr>
        <w:rFonts w:ascii="Noto Sans Symbols" w:hAnsi="Noto Sans Symbols" w:cs="Noto Sans Symbols" w:hint="default"/>
        <w:sz w:val="20"/>
        <w:szCs w:val="20"/>
      </w:rPr>
    </w:lvl>
    <w:lvl w:ilvl="4">
      <w:start w:val="1"/>
      <w:numFmt w:val="bullet"/>
      <w:lvlText w:val="▪"/>
      <w:lvlJc w:val="left"/>
      <w:pPr>
        <w:ind w:left="3600" w:hanging="360"/>
      </w:pPr>
      <w:rPr>
        <w:rFonts w:ascii="Noto Sans Symbols" w:hAnsi="Noto Sans Symbols" w:cs="Noto Sans Symbols" w:hint="default"/>
        <w:sz w:val="20"/>
        <w:szCs w:val="20"/>
      </w:rPr>
    </w:lvl>
    <w:lvl w:ilvl="5">
      <w:start w:val="1"/>
      <w:numFmt w:val="bullet"/>
      <w:lvlText w:val="▪"/>
      <w:lvlJc w:val="left"/>
      <w:pPr>
        <w:ind w:left="4320" w:hanging="360"/>
      </w:pPr>
      <w:rPr>
        <w:rFonts w:ascii="Noto Sans Symbols" w:hAnsi="Noto Sans Symbols" w:cs="Noto Sans Symbols" w:hint="default"/>
        <w:sz w:val="20"/>
        <w:szCs w:val="20"/>
      </w:rPr>
    </w:lvl>
    <w:lvl w:ilvl="6">
      <w:start w:val="1"/>
      <w:numFmt w:val="bullet"/>
      <w:lvlText w:val="▪"/>
      <w:lvlJc w:val="left"/>
      <w:pPr>
        <w:ind w:left="5040" w:hanging="360"/>
      </w:pPr>
      <w:rPr>
        <w:rFonts w:ascii="Noto Sans Symbols" w:hAnsi="Noto Sans Symbols" w:cs="Noto Sans Symbols" w:hint="default"/>
        <w:sz w:val="20"/>
        <w:szCs w:val="20"/>
      </w:rPr>
    </w:lvl>
    <w:lvl w:ilvl="7">
      <w:start w:val="1"/>
      <w:numFmt w:val="bullet"/>
      <w:lvlText w:val="▪"/>
      <w:lvlJc w:val="left"/>
      <w:pPr>
        <w:ind w:left="5760" w:hanging="360"/>
      </w:pPr>
      <w:rPr>
        <w:rFonts w:ascii="Noto Sans Symbols" w:hAnsi="Noto Sans Symbols" w:cs="Noto Sans Symbols" w:hint="default"/>
        <w:sz w:val="20"/>
        <w:szCs w:val="20"/>
      </w:rPr>
    </w:lvl>
    <w:lvl w:ilvl="8">
      <w:start w:val="1"/>
      <w:numFmt w:val="bullet"/>
      <w:lvlText w:val="▪"/>
      <w:lvlJc w:val="left"/>
      <w:pPr>
        <w:ind w:left="6480" w:hanging="360"/>
      </w:pPr>
      <w:rPr>
        <w:rFonts w:ascii="Noto Sans Symbols" w:hAnsi="Noto Sans Symbols" w:cs="Noto Sans Symbols" w:hint="default"/>
        <w:sz w:val="20"/>
        <w:szCs w:val="20"/>
      </w:rPr>
    </w:lvl>
  </w:abstractNum>
  <w:abstractNum w:abstractNumId="2" w15:restartNumberingAfterBreak="0">
    <w:nsid w:val="BF205925"/>
    <w:multiLevelType w:val="multilevel"/>
    <w:tmpl w:val="BF20592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CF092B84"/>
    <w:multiLevelType w:val="multilevel"/>
    <w:tmpl w:val="CF092B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F4B5D9F5"/>
    <w:multiLevelType w:val="multilevel"/>
    <w:tmpl w:val="F4B5D9F5"/>
    <w:lvl w:ilvl="0">
      <w:start w:val="1"/>
      <w:numFmt w:val="decimal"/>
      <w:lvlText w:val="%1."/>
      <w:lvlJc w:val="left"/>
      <w:pPr>
        <w:ind w:left="720" w:hanging="360"/>
      </w:pPr>
      <w:rPr>
        <w:rFonts w:ascii="Times New Roman" w:hAnsi="Times New Roman"/>
        <w:sz w:val="24"/>
        <w:u w:val="none"/>
      </w:rPr>
    </w:lvl>
    <w:lvl w:ilvl="1">
      <w:start w:val="1"/>
      <w:numFmt w:val="bullet"/>
      <w:lvlText w:val=""/>
      <w:lvlJc w:val="left"/>
      <w:pPr>
        <w:ind w:left="1440" w:hanging="360"/>
      </w:pPr>
      <w:rPr>
        <w:rFonts w:ascii="Wingdings 2" w:hAnsi="Wingdings 2" w:cs="Wingdings 2" w:hint="default"/>
        <w:sz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053208E"/>
    <w:multiLevelType w:val="multilevel"/>
    <w:tmpl w:val="0053208E"/>
    <w:lvl w:ilvl="0">
      <w:start w:val="1"/>
      <w:numFmt w:val="bullet"/>
      <w:lvlText w:val="●"/>
      <w:lvlJc w:val="left"/>
      <w:pPr>
        <w:ind w:left="720" w:hanging="360"/>
      </w:pPr>
      <w:rPr>
        <w:rFonts w:ascii="Noto Sans Symbols" w:hAnsi="Noto Sans Symbols" w:cs="Noto Sans Symbols" w:hint="default"/>
        <w:sz w:val="24"/>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hAnsi="Noto Sans Symbols" w:cs="Noto Sans Symbols" w:hint="default"/>
        <w:sz w:val="20"/>
        <w:szCs w:val="20"/>
      </w:rPr>
    </w:lvl>
    <w:lvl w:ilvl="3">
      <w:start w:val="1"/>
      <w:numFmt w:val="bullet"/>
      <w:lvlText w:val="▪"/>
      <w:lvlJc w:val="left"/>
      <w:pPr>
        <w:ind w:left="2880" w:hanging="360"/>
      </w:pPr>
      <w:rPr>
        <w:rFonts w:ascii="Noto Sans Symbols" w:hAnsi="Noto Sans Symbols" w:cs="Noto Sans Symbols" w:hint="default"/>
        <w:sz w:val="20"/>
        <w:szCs w:val="20"/>
      </w:rPr>
    </w:lvl>
    <w:lvl w:ilvl="4">
      <w:start w:val="1"/>
      <w:numFmt w:val="bullet"/>
      <w:lvlText w:val="▪"/>
      <w:lvlJc w:val="left"/>
      <w:pPr>
        <w:ind w:left="3600" w:hanging="360"/>
      </w:pPr>
      <w:rPr>
        <w:rFonts w:ascii="Noto Sans Symbols" w:hAnsi="Noto Sans Symbols" w:cs="Noto Sans Symbols" w:hint="default"/>
        <w:sz w:val="20"/>
        <w:szCs w:val="20"/>
      </w:rPr>
    </w:lvl>
    <w:lvl w:ilvl="5">
      <w:start w:val="1"/>
      <w:numFmt w:val="bullet"/>
      <w:lvlText w:val="▪"/>
      <w:lvlJc w:val="left"/>
      <w:pPr>
        <w:ind w:left="4320" w:hanging="360"/>
      </w:pPr>
      <w:rPr>
        <w:rFonts w:ascii="Noto Sans Symbols" w:hAnsi="Noto Sans Symbols" w:cs="Noto Sans Symbols" w:hint="default"/>
        <w:sz w:val="20"/>
        <w:szCs w:val="20"/>
      </w:rPr>
    </w:lvl>
    <w:lvl w:ilvl="6">
      <w:start w:val="1"/>
      <w:numFmt w:val="bullet"/>
      <w:lvlText w:val="▪"/>
      <w:lvlJc w:val="left"/>
      <w:pPr>
        <w:ind w:left="5040" w:hanging="360"/>
      </w:pPr>
      <w:rPr>
        <w:rFonts w:ascii="Noto Sans Symbols" w:hAnsi="Noto Sans Symbols" w:cs="Noto Sans Symbols" w:hint="default"/>
        <w:sz w:val="20"/>
        <w:szCs w:val="20"/>
      </w:rPr>
    </w:lvl>
    <w:lvl w:ilvl="7">
      <w:start w:val="1"/>
      <w:numFmt w:val="bullet"/>
      <w:lvlText w:val="▪"/>
      <w:lvlJc w:val="left"/>
      <w:pPr>
        <w:ind w:left="5760" w:hanging="360"/>
      </w:pPr>
      <w:rPr>
        <w:rFonts w:ascii="Noto Sans Symbols" w:hAnsi="Noto Sans Symbols" w:cs="Noto Sans Symbols" w:hint="default"/>
        <w:sz w:val="20"/>
        <w:szCs w:val="20"/>
      </w:rPr>
    </w:lvl>
    <w:lvl w:ilvl="8">
      <w:start w:val="1"/>
      <w:numFmt w:val="bullet"/>
      <w:lvlText w:val="▪"/>
      <w:lvlJc w:val="left"/>
      <w:pPr>
        <w:ind w:left="6480" w:hanging="360"/>
      </w:pPr>
      <w:rPr>
        <w:rFonts w:ascii="Noto Sans Symbols" w:hAnsi="Noto Sans Symbols" w:cs="Noto Sans Symbols" w:hint="default"/>
        <w:sz w:val="20"/>
        <w:szCs w:val="20"/>
      </w:rPr>
    </w:lvl>
  </w:abstractNum>
  <w:abstractNum w:abstractNumId="6" w15:restartNumberingAfterBreak="0">
    <w:nsid w:val="0248C179"/>
    <w:multiLevelType w:val="multilevel"/>
    <w:tmpl w:val="0248C179"/>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24"/>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3D62ECE"/>
    <w:multiLevelType w:val="multilevel"/>
    <w:tmpl w:val="03D62ECE"/>
    <w:lvl w:ilvl="0">
      <w:start w:val="1"/>
      <w:numFmt w:val="bullet"/>
      <w:lvlText w:val="●"/>
      <w:lvlJc w:val="left"/>
      <w:pPr>
        <w:ind w:left="720" w:hanging="360"/>
      </w:pPr>
      <w:rPr>
        <w:rFonts w:ascii="Noto Sans Symbols" w:hAnsi="Noto Sans Symbols" w:cs="Noto Sans Symbols" w:hint="default"/>
        <w:sz w:val="24"/>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hAnsi="Noto Sans Symbols" w:cs="Noto Sans Symbols" w:hint="default"/>
        <w:sz w:val="20"/>
        <w:szCs w:val="20"/>
      </w:rPr>
    </w:lvl>
    <w:lvl w:ilvl="3">
      <w:start w:val="1"/>
      <w:numFmt w:val="bullet"/>
      <w:lvlText w:val="▪"/>
      <w:lvlJc w:val="left"/>
      <w:pPr>
        <w:ind w:left="2880" w:hanging="360"/>
      </w:pPr>
      <w:rPr>
        <w:rFonts w:ascii="Noto Sans Symbols" w:hAnsi="Noto Sans Symbols" w:cs="Noto Sans Symbols" w:hint="default"/>
        <w:sz w:val="20"/>
        <w:szCs w:val="20"/>
      </w:rPr>
    </w:lvl>
    <w:lvl w:ilvl="4">
      <w:start w:val="1"/>
      <w:numFmt w:val="bullet"/>
      <w:lvlText w:val="▪"/>
      <w:lvlJc w:val="left"/>
      <w:pPr>
        <w:ind w:left="3600" w:hanging="360"/>
      </w:pPr>
      <w:rPr>
        <w:rFonts w:ascii="Noto Sans Symbols" w:hAnsi="Noto Sans Symbols" w:cs="Noto Sans Symbols" w:hint="default"/>
        <w:sz w:val="20"/>
        <w:szCs w:val="20"/>
      </w:rPr>
    </w:lvl>
    <w:lvl w:ilvl="5">
      <w:start w:val="1"/>
      <w:numFmt w:val="bullet"/>
      <w:lvlText w:val="▪"/>
      <w:lvlJc w:val="left"/>
      <w:pPr>
        <w:ind w:left="4320" w:hanging="360"/>
      </w:pPr>
      <w:rPr>
        <w:rFonts w:ascii="Noto Sans Symbols" w:hAnsi="Noto Sans Symbols" w:cs="Noto Sans Symbols" w:hint="default"/>
        <w:sz w:val="20"/>
        <w:szCs w:val="20"/>
      </w:rPr>
    </w:lvl>
    <w:lvl w:ilvl="6">
      <w:start w:val="1"/>
      <w:numFmt w:val="bullet"/>
      <w:lvlText w:val="▪"/>
      <w:lvlJc w:val="left"/>
      <w:pPr>
        <w:ind w:left="5040" w:hanging="360"/>
      </w:pPr>
      <w:rPr>
        <w:rFonts w:ascii="Noto Sans Symbols" w:hAnsi="Noto Sans Symbols" w:cs="Noto Sans Symbols" w:hint="default"/>
        <w:sz w:val="20"/>
        <w:szCs w:val="20"/>
      </w:rPr>
    </w:lvl>
    <w:lvl w:ilvl="7">
      <w:start w:val="1"/>
      <w:numFmt w:val="bullet"/>
      <w:lvlText w:val="▪"/>
      <w:lvlJc w:val="left"/>
      <w:pPr>
        <w:ind w:left="5760" w:hanging="360"/>
      </w:pPr>
      <w:rPr>
        <w:rFonts w:ascii="Noto Sans Symbols" w:hAnsi="Noto Sans Symbols" w:cs="Noto Sans Symbols" w:hint="default"/>
        <w:sz w:val="20"/>
        <w:szCs w:val="20"/>
      </w:rPr>
    </w:lvl>
    <w:lvl w:ilvl="8">
      <w:start w:val="1"/>
      <w:numFmt w:val="bullet"/>
      <w:lvlText w:val="▪"/>
      <w:lvlJc w:val="left"/>
      <w:pPr>
        <w:ind w:left="6480" w:hanging="360"/>
      </w:pPr>
      <w:rPr>
        <w:rFonts w:ascii="Noto Sans Symbols" w:hAnsi="Noto Sans Symbols" w:cs="Noto Sans Symbols" w:hint="default"/>
        <w:sz w:val="20"/>
        <w:szCs w:val="20"/>
      </w:rPr>
    </w:lvl>
  </w:abstractNum>
  <w:abstractNum w:abstractNumId="8" w15:restartNumberingAfterBreak="0">
    <w:nsid w:val="2470EC97"/>
    <w:multiLevelType w:val="multilevel"/>
    <w:tmpl w:val="2470EC97"/>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24"/>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5B654F3"/>
    <w:multiLevelType w:val="multilevel"/>
    <w:tmpl w:val="25B654F3"/>
    <w:lvl w:ilvl="0">
      <w:start w:val="1"/>
      <w:numFmt w:val="bullet"/>
      <w:lvlText w:val="●"/>
      <w:lvlJc w:val="left"/>
      <w:pPr>
        <w:ind w:left="720" w:hanging="360"/>
      </w:pPr>
      <w:rPr>
        <w:rFonts w:ascii="Noto Sans Symbols" w:hAnsi="Noto Sans Symbols" w:cs="Noto Sans Symbols" w:hint="default"/>
        <w:sz w:val="24"/>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hAnsi="Noto Sans Symbols" w:cs="Noto Sans Symbols" w:hint="default"/>
        <w:sz w:val="20"/>
        <w:szCs w:val="20"/>
      </w:rPr>
    </w:lvl>
    <w:lvl w:ilvl="3">
      <w:start w:val="1"/>
      <w:numFmt w:val="bullet"/>
      <w:lvlText w:val="▪"/>
      <w:lvlJc w:val="left"/>
      <w:pPr>
        <w:ind w:left="2880" w:hanging="360"/>
      </w:pPr>
      <w:rPr>
        <w:rFonts w:ascii="Noto Sans Symbols" w:hAnsi="Noto Sans Symbols" w:cs="Noto Sans Symbols" w:hint="default"/>
        <w:sz w:val="20"/>
        <w:szCs w:val="20"/>
      </w:rPr>
    </w:lvl>
    <w:lvl w:ilvl="4">
      <w:start w:val="1"/>
      <w:numFmt w:val="bullet"/>
      <w:lvlText w:val="▪"/>
      <w:lvlJc w:val="left"/>
      <w:pPr>
        <w:ind w:left="3600" w:hanging="360"/>
      </w:pPr>
      <w:rPr>
        <w:rFonts w:ascii="Noto Sans Symbols" w:hAnsi="Noto Sans Symbols" w:cs="Noto Sans Symbols" w:hint="default"/>
        <w:sz w:val="20"/>
        <w:szCs w:val="20"/>
      </w:rPr>
    </w:lvl>
    <w:lvl w:ilvl="5">
      <w:start w:val="1"/>
      <w:numFmt w:val="bullet"/>
      <w:lvlText w:val="▪"/>
      <w:lvlJc w:val="left"/>
      <w:pPr>
        <w:ind w:left="4320" w:hanging="360"/>
      </w:pPr>
      <w:rPr>
        <w:rFonts w:ascii="Noto Sans Symbols" w:hAnsi="Noto Sans Symbols" w:cs="Noto Sans Symbols" w:hint="default"/>
        <w:sz w:val="20"/>
        <w:szCs w:val="20"/>
      </w:rPr>
    </w:lvl>
    <w:lvl w:ilvl="6">
      <w:start w:val="1"/>
      <w:numFmt w:val="bullet"/>
      <w:lvlText w:val="▪"/>
      <w:lvlJc w:val="left"/>
      <w:pPr>
        <w:ind w:left="5040" w:hanging="360"/>
      </w:pPr>
      <w:rPr>
        <w:rFonts w:ascii="Noto Sans Symbols" w:hAnsi="Noto Sans Symbols" w:cs="Noto Sans Symbols" w:hint="default"/>
        <w:sz w:val="20"/>
        <w:szCs w:val="20"/>
      </w:rPr>
    </w:lvl>
    <w:lvl w:ilvl="7">
      <w:start w:val="1"/>
      <w:numFmt w:val="bullet"/>
      <w:lvlText w:val="▪"/>
      <w:lvlJc w:val="left"/>
      <w:pPr>
        <w:ind w:left="5760" w:hanging="360"/>
      </w:pPr>
      <w:rPr>
        <w:rFonts w:ascii="Noto Sans Symbols" w:hAnsi="Noto Sans Symbols" w:cs="Noto Sans Symbols" w:hint="default"/>
        <w:sz w:val="20"/>
        <w:szCs w:val="20"/>
      </w:rPr>
    </w:lvl>
    <w:lvl w:ilvl="8">
      <w:start w:val="1"/>
      <w:numFmt w:val="bullet"/>
      <w:lvlText w:val="▪"/>
      <w:lvlJc w:val="left"/>
      <w:pPr>
        <w:ind w:left="6480" w:hanging="360"/>
      </w:pPr>
      <w:rPr>
        <w:rFonts w:ascii="Noto Sans Symbols" w:hAnsi="Noto Sans Symbols" w:cs="Noto Sans Symbols" w:hint="default"/>
        <w:sz w:val="20"/>
        <w:szCs w:val="20"/>
      </w:rPr>
    </w:lvl>
  </w:abstractNum>
  <w:abstractNum w:abstractNumId="10" w15:restartNumberingAfterBreak="0">
    <w:nsid w:val="2A8F537B"/>
    <w:multiLevelType w:val="multilevel"/>
    <w:tmpl w:val="2A8F537B"/>
    <w:lvl w:ilvl="0">
      <w:start w:val="1"/>
      <w:numFmt w:val="decimal"/>
      <w:lvlText w:val="%1."/>
      <w:lvlJc w:val="left"/>
      <w:pPr>
        <w:ind w:left="720" w:hanging="360"/>
      </w:pPr>
      <w:rPr>
        <w:rFonts w:ascii="Times New Roman" w:hAnsi="Times New Roman"/>
        <w:sz w:val="24"/>
        <w:u w:val="none"/>
      </w:rPr>
    </w:lvl>
    <w:lvl w:ilvl="1">
      <w:start w:val="1"/>
      <w:numFmt w:val="bullet"/>
      <w:lvlText w:val=""/>
      <w:lvlJc w:val="left"/>
      <w:pPr>
        <w:ind w:left="1440" w:hanging="360"/>
      </w:pPr>
      <w:rPr>
        <w:rFonts w:ascii="Wingdings 2" w:hAnsi="Wingdings 2" w:cs="Wingdings 2" w:hint="default"/>
        <w:sz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D4DC07F"/>
    <w:multiLevelType w:val="multilevel"/>
    <w:tmpl w:val="4D4DC07F"/>
    <w:lvl w:ilvl="0">
      <w:start w:val="1"/>
      <w:numFmt w:val="decimal"/>
      <w:lvlText w:val="%1."/>
      <w:lvlJc w:val="left"/>
      <w:pPr>
        <w:ind w:left="720" w:hanging="360"/>
      </w:pPr>
      <w:rPr>
        <w:rFonts w:ascii="Times New Roman" w:hAnsi="Times New Roman"/>
        <w:sz w:val="24"/>
        <w:u w:val="none"/>
      </w:rPr>
    </w:lvl>
    <w:lvl w:ilvl="1">
      <w:start w:val="1"/>
      <w:numFmt w:val="bullet"/>
      <w:lvlText w:val=""/>
      <w:lvlJc w:val="left"/>
      <w:pPr>
        <w:ind w:left="1440" w:hanging="360"/>
      </w:pPr>
      <w:rPr>
        <w:rFonts w:ascii="Wingdings 2" w:hAnsi="Wingdings 2" w:cs="Wingdings 2" w:hint="default"/>
        <w:sz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9ADCABA"/>
    <w:multiLevelType w:val="multilevel"/>
    <w:tmpl w:val="59ADCA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A241D34"/>
    <w:multiLevelType w:val="multilevel"/>
    <w:tmpl w:val="5A241D34"/>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5"/>
  </w:num>
  <w:num w:numId="2">
    <w:abstractNumId w:val="3"/>
  </w:num>
  <w:num w:numId="3">
    <w:abstractNumId w:val="12"/>
  </w:num>
  <w:num w:numId="4">
    <w:abstractNumId w:val="2"/>
  </w:num>
  <w:num w:numId="5">
    <w:abstractNumId w:val="1"/>
  </w:num>
  <w:num w:numId="6">
    <w:abstractNumId w:val="7"/>
  </w:num>
  <w:num w:numId="7">
    <w:abstractNumId w:val="9"/>
  </w:num>
  <w:num w:numId="8">
    <w:abstractNumId w:val="6"/>
  </w:num>
  <w:num w:numId="9">
    <w:abstractNumId w:val="0"/>
  </w:num>
  <w:num w:numId="10">
    <w:abstractNumId w:val="10"/>
  </w:num>
  <w:num w:numId="11">
    <w:abstractNumId w:val="13"/>
  </w:num>
  <w:num w:numId="12">
    <w:abstractNumId w:val="11"/>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86D"/>
    <w:rsid w:val="00480F78"/>
    <w:rsid w:val="00531DDE"/>
    <w:rsid w:val="005B165C"/>
    <w:rsid w:val="006A0A56"/>
    <w:rsid w:val="009C486D"/>
    <w:rsid w:val="00D55960"/>
    <w:rsid w:val="30917C7B"/>
    <w:rsid w:val="3D8E0BBE"/>
    <w:rsid w:val="41862AA8"/>
    <w:rsid w:val="4579090C"/>
    <w:rsid w:val="4CF974E7"/>
    <w:rsid w:val="51690386"/>
    <w:rsid w:val="531F1C23"/>
    <w:rsid w:val="58694190"/>
    <w:rsid w:val="5AA20FF6"/>
    <w:rsid w:val="5BA47D92"/>
  </w:rsids>
  <m:mathPr>
    <m:mathFont m:val="Cambria Math"/>
    <m:brkBin m:val="before"/>
    <m:brkBinSub m:val="--"/>
    <m:smallFrac m:val="0"/>
    <m:dispDef/>
    <m:lMargin m:val="0"/>
    <m:rMargin m:val="0"/>
    <m:defJc m:val="centerGroup"/>
    <m:wrapIndent m:val="1440"/>
    <m:intLim m:val="subSup"/>
    <m:naryLim m:val="undOvr"/>
  </m:mathPr>
  <w:themeFontLang w:val="uk-UA"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1CBFB5-BEDF-45A8-AB11-50D980AE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00" w:after="200" w:line="276" w:lineRule="auto"/>
    </w:pPr>
    <w:rPr>
      <w:lang w:val="uk-UA" w:eastAsia="uk-UA"/>
    </w:rPr>
  </w:style>
  <w:style w:type="paragraph" w:styleId="1">
    <w:name w:val="heading 1"/>
    <w:basedOn w:val="a"/>
    <w:next w:val="a"/>
    <w:uiPriority w:val="9"/>
    <w:qFormat/>
    <w:pPr>
      <w:pBdr>
        <w:top w:val="single" w:sz="24" w:space="0" w:color="156082"/>
        <w:left w:val="single" w:sz="24" w:space="0" w:color="156082"/>
        <w:bottom w:val="single" w:sz="24" w:space="0" w:color="156082"/>
        <w:right w:val="single" w:sz="24" w:space="0" w:color="156082"/>
      </w:pBdr>
      <w:shd w:val="clear" w:color="auto" w:fill="156082"/>
      <w:spacing w:after="0"/>
      <w:outlineLvl w:val="0"/>
    </w:pPr>
    <w:rPr>
      <w:smallCaps/>
      <w:color w:val="FFFFFF"/>
      <w:sz w:val="22"/>
      <w:szCs w:val="22"/>
    </w:rPr>
  </w:style>
  <w:style w:type="paragraph" w:styleId="2">
    <w:name w:val="heading 2"/>
    <w:basedOn w:val="a"/>
    <w:next w:val="a"/>
    <w:uiPriority w:val="9"/>
    <w:unhideWhenUsed/>
    <w:qFormat/>
    <w:pPr>
      <w:pBdr>
        <w:top w:val="single" w:sz="24" w:space="0" w:color="C1E4F5"/>
        <w:left w:val="single" w:sz="24" w:space="0" w:color="C1E4F5"/>
        <w:bottom w:val="single" w:sz="24" w:space="0" w:color="C1E4F5"/>
        <w:right w:val="single" w:sz="24" w:space="0" w:color="C1E4F5"/>
      </w:pBdr>
      <w:shd w:val="clear" w:color="auto" w:fill="C1E4F5"/>
      <w:spacing w:after="0"/>
      <w:outlineLvl w:val="1"/>
    </w:pPr>
    <w:rPr>
      <w:smallCaps/>
    </w:rPr>
  </w:style>
  <w:style w:type="paragraph" w:styleId="3">
    <w:name w:val="heading 3"/>
    <w:basedOn w:val="a"/>
    <w:next w:val="a"/>
    <w:uiPriority w:val="9"/>
    <w:unhideWhenUsed/>
    <w:qFormat/>
    <w:pPr>
      <w:pBdr>
        <w:top w:val="single" w:sz="6" w:space="2" w:color="156082"/>
      </w:pBdr>
      <w:spacing w:before="300" w:after="0"/>
      <w:outlineLvl w:val="2"/>
    </w:pPr>
    <w:rPr>
      <w:smallCaps/>
      <w:color w:val="0A2F40"/>
    </w:rPr>
  </w:style>
  <w:style w:type="paragraph" w:styleId="4">
    <w:name w:val="heading 4"/>
    <w:basedOn w:val="a"/>
    <w:next w:val="a"/>
    <w:uiPriority w:val="9"/>
    <w:semiHidden/>
    <w:unhideWhenUsed/>
    <w:qFormat/>
    <w:pPr>
      <w:pBdr>
        <w:top w:val="dotted" w:sz="6" w:space="2" w:color="156082"/>
      </w:pBdr>
      <w:spacing w:before="200" w:after="0"/>
      <w:outlineLvl w:val="3"/>
    </w:pPr>
    <w:rPr>
      <w:smallCaps/>
      <w:color w:val="0F4761"/>
    </w:rPr>
  </w:style>
  <w:style w:type="paragraph" w:styleId="5">
    <w:name w:val="heading 5"/>
    <w:basedOn w:val="a"/>
    <w:next w:val="a"/>
    <w:uiPriority w:val="9"/>
    <w:semiHidden/>
    <w:unhideWhenUsed/>
    <w:qFormat/>
    <w:pPr>
      <w:pBdr>
        <w:bottom w:val="single" w:sz="6" w:space="1" w:color="156082"/>
      </w:pBdr>
      <w:spacing w:before="200" w:after="0"/>
      <w:outlineLvl w:val="4"/>
    </w:pPr>
    <w:rPr>
      <w:smallCaps/>
      <w:color w:val="0F4761"/>
    </w:rPr>
  </w:style>
  <w:style w:type="paragraph" w:styleId="6">
    <w:name w:val="heading 6"/>
    <w:basedOn w:val="a"/>
    <w:next w:val="a"/>
    <w:uiPriority w:val="9"/>
    <w:semiHidden/>
    <w:unhideWhenUsed/>
    <w:qFormat/>
    <w:pPr>
      <w:pBdr>
        <w:bottom w:val="dotted" w:sz="6" w:space="1" w:color="156082"/>
      </w:pBdr>
      <w:spacing w:before="200" w:after="0"/>
      <w:outlineLvl w:val="5"/>
    </w:pPr>
    <w:rPr>
      <w:smallCaps/>
      <w:color w:val="0F47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before="0" w:after="140"/>
    </w:pPr>
  </w:style>
  <w:style w:type="paragraph" w:styleId="a4">
    <w:name w:val="caption"/>
    <w:basedOn w:val="a"/>
    <w:qFormat/>
    <w:pPr>
      <w:suppressLineNumbers/>
      <w:spacing w:before="120" w:after="120"/>
    </w:pPr>
    <w:rPr>
      <w:rFonts w:cs="Arial"/>
      <w:i/>
      <w:iCs/>
      <w:sz w:val="24"/>
      <w:szCs w:val="24"/>
    </w:rPr>
  </w:style>
  <w:style w:type="paragraph" w:styleId="a5">
    <w:name w:val="footnote text"/>
    <w:basedOn w:val="a"/>
    <w:qFormat/>
  </w:style>
  <w:style w:type="paragraph" w:styleId="a6">
    <w:name w:val="List"/>
    <w:basedOn w:val="a3"/>
    <w:qFormat/>
    <w:rPr>
      <w:rFonts w:cs="Arial"/>
    </w:rPr>
  </w:style>
  <w:style w:type="paragraph" w:styleId="a7">
    <w:name w:val="Subtitle"/>
    <w:basedOn w:val="a"/>
    <w:next w:val="a"/>
    <w:uiPriority w:val="11"/>
    <w:qFormat/>
    <w:pPr>
      <w:spacing w:before="0" w:after="500" w:line="240" w:lineRule="auto"/>
    </w:pPr>
    <w:rPr>
      <w:smallCaps/>
      <w:color w:val="595959"/>
      <w:sz w:val="21"/>
      <w:szCs w:val="21"/>
    </w:rPr>
  </w:style>
  <w:style w:type="paragraph" w:styleId="a8">
    <w:name w:val="Title"/>
    <w:basedOn w:val="a"/>
    <w:next w:val="a"/>
    <w:uiPriority w:val="10"/>
    <w:qFormat/>
    <w:pPr>
      <w:spacing w:before="0" w:after="0"/>
    </w:pPr>
    <w:rPr>
      <w:rFonts w:ascii="Play" w:eastAsia="Play" w:hAnsi="Play" w:cs="Play"/>
      <w:smallCaps/>
      <w:color w:val="156082"/>
      <w:sz w:val="52"/>
      <w:szCs w:val="52"/>
    </w:rPr>
  </w:style>
  <w:style w:type="character" w:customStyle="1" w:styleId="a9">
    <w:name w:val="Символи виноски"/>
    <w:qFormat/>
  </w:style>
  <w:style w:type="character" w:customStyle="1" w:styleId="aa">
    <w:name w:val="Прив'язка виноски"/>
    <w:qFormat/>
    <w:rPr>
      <w:vertAlign w:val="superscript"/>
    </w:rPr>
  </w:style>
  <w:style w:type="character" w:customStyle="1" w:styleId="ab">
    <w:name w:val="Прив'язка кінцевої виноски"/>
    <w:qFormat/>
    <w:rPr>
      <w:vertAlign w:val="superscript"/>
    </w:rPr>
  </w:style>
  <w:style w:type="character" w:customStyle="1" w:styleId="ac">
    <w:name w:val="Символи кінцевої виноски"/>
    <w:qFormat/>
  </w:style>
  <w:style w:type="paragraph" w:customStyle="1" w:styleId="ad">
    <w:name w:val="Заголовок"/>
    <w:basedOn w:val="a"/>
    <w:next w:val="a3"/>
    <w:qFormat/>
    <w:pPr>
      <w:keepNext/>
      <w:spacing w:before="240" w:after="120"/>
    </w:pPr>
    <w:rPr>
      <w:rFonts w:ascii="Liberation Sans" w:eastAsia="Microsoft YaHei" w:hAnsi="Liberation Sans" w:cs="Arial"/>
      <w:sz w:val="28"/>
      <w:szCs w:val="28"/>
    </w:rPr>
  </w:style>
  <w:style w:type="paragraph" w:customStyle="1" w:styleId="ae">
    <w:name w:val="Покажчик"/>
    <w:basedOn w:val="a"/>
    <w:qFormat/>
    <w:pPr>
      <w:suppressLineNumbers/>
    </w:pPr>
    <w:rPr>
      <w:rFonts w:cs="Arial"/>
    </w:r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af">
    <w:name w:val="таблиця док"/>
    <w:basedOn w:val="TableNormal2"/>
    <w:qFormat/>
    <w:tblPr>
      <w:tblCellMar>
        <w:left w:w="108" w:type="dxa"/>
        <w:right w:w="108" w:type="dxa"/>
      </w:tblCellMar>
    </w:tblPr>
    <w:tblStylePr w:type="firstRow">
      <w:rPr>
        <w:b/>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rPr>
      <w:tblPr/>
      <w:tcPr>
        <w:tcBorders>
          <w:top w:val="single" w:sz="4" w:space="0" w:color="156082"/>
        </w:tcBorders>
      </w:tcPr>
    </w:tblStylePr>
    <w:tblStylePr w:type="firstCol">
      <w:rPr>
        <w:b/>
      </w:rPr>
    </w:tblStylePr>
    <w:tblStylePr w:type="lastCol">
      <w:rPr>
        <w:b/>
      </w:rPr>
    </w:tblStylePr>
    <w:tblStylePr w:type="band1Vert">
      <w:tblPr/>
      <w:tcPr>
        <w:shd w:val="clear" w:color="auto" w:fill="C1E4F5"/>
      </w:tcPr>
    </w:tblStylePr>
    <w:tblStylePr w:type="band1Horz">
      <w:tblPr/>
      <w:tcPr>
        <w:shd w:val="clear" w:color="auto" w:fill="C1E4F5"/>
      </w:tcPr>
    </w:tblStylePr>
  </w:style>
  <w:style w:type="table" w:customStyle="1" w:styleId="411">
    <w:name w:val="Список таблиці 4 – акцент 11"/>
    <w:basedOn w:val="a1"/>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Сітка таблиці 4 – акцент 11"/>
    <w:basedOn w:val="a1"/>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Список таблиці 5 (темний) – акцент 11"/>
    <w:basedOn w:val="a1"/>
    <w:uiPriority w:val="50"/>
    <w:qFormat/>
    <w:rPr>
      <w:color w:val="FFFFFF" w:themeColor="background1"/>
    </w:rPr>
    <w:tblPr>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Сітка таблиці 5 (темна) – акцент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51">
    <w:name w:val="Сітка таблиці 4 – акцент 51"/>
    <w:basedOn w:val="a1"/>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41">
    <w:name w:val="Сітка таблиці 5 (темна) – акцент 4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af0">
    <w:name w:val="Normal (Web)"/>
    <w:basedOn w:val="a"/>
    <w:uiPriority w:val="99"/>
    <w:rsid w:val="00531DDE"/>
    <w:pPr>
      <w:spacing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Balloon Text"/>
    <w:basedOn w:val="a"/>
    <w:link w:val="af2"/>
    <w:uiPriority w:val="99"/>
    <w:semiHidden/>
    <w:unhideWhenUsed/>
    <w:rsid w:val="005B165C"/>
    <w:pPr>
      <w:spacing w:before="0"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5B165C"/>
    <w:rPr>
      <w:rFonts w:ascii="Segoe UI" w:hAnsi="Segoe UI" w:cs="Segoe UI"/>
      <w:sz w:val="18"/>
      <w:szCs w:val="1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QoWZYmT3q2gW8wJqsGEmVNhYNxA==">CgMxLjAyCGguZ2pkZ3hzMgloLjMwajB6bGwyCWguMWZvYjl0ZTIJaC4zem55c2g3MgloLjJldDkycDAyCGgudHlqY3d0MgloLjNkeTZ2a20yCWguMXQzaDVzZjIJaC40ZDM0b2c4MgloLjJzOGV5bzEyCWguMTdkcDh2dTIJaC4zcmRjcmpuOAByITFCQldBSExhcDFtMllBLU9LdmFwMzdTRm5uTC0wVmdkSA==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2755</Words>
  <Characters>15705</Characters>
  <Application>Microsoft Office Word</Application>
  <DocSecurity>0</DocSecurity>
  <Lines>130</Lines>
  <Paragraphs>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2026-03-25T07:22:00Z</cp:lastPrinted>
  <dcterms:created xsi:type="dcterms:W3CDTF">2026-03-23T14:29:00Z</dcterms:created>
  <dcterms:modified xsi:type="dcterms:W3CDTF">2026-03-25T07:30:00Z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1033-12.2.0.23196</vt:lpwstr>
  </property>
  <property fmtid="{D5CDD505-2E9C-101B-9397-08002B2CF9AE}" pid="9" name="ICV">
    <vt:lpwstr>A80E911A521E41B88565C9879BA7EC9D_12</vt:lpwstr>
  </property>
</Properties>
</file>